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AF834" w14:textId="2D0F4284" w:rsidR="00CC0EBB" w:rsidRDefault="00CC0EBB" w:rsidP="000F6DCC">
      <w:pPr>
        <w:widowControl w:val="0"/>
        <w:autoSpaceDE w:val="0"/>
        <w:autoSpaceDN w:val="0"/>
        <w:adjustRightInd w:val="0"/>
        <w:spacing w:line="480" w:lineRule="auto"/>
        <w:jc w:val="right"/>
        <w:rPr>
          <w:rFonts w:ascii="Times New Roman" w:hAnsi="Times New Roman" w:cs="Times New Roman"/>
          <w:sz w:val="24"/>
          <w:szCs w:val="24"/>
        </w:rPr>
      </w:pPr>
    </w:p>
    <w:p w14:paraId="512EFAE2" w14:textId="50EC0404" w:rsidR="00164452" w:rsidRDefault="00A85F85" w:rsidP="00164452">
      <w:pPr>
        <w:widowControl w:val="0"/>
        <w:autoSpaceDE w:val="0"/>
        <w:autoSpaceDN w:val="0"/>
        <w:adjustRightInd w:val="0"/>
        <w:spacing w:line="48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Towards a</w:t>
      </w:r>
      <w:r w:rsidR="00E22DE3">
        <w:rPr>
          <w:rFonts w:ascii="Times New Roman" w:hAnsi="Times New Roman" w:cs="Times New Roman"/>
          <w:sz w:val="24"/>
          <w:szCs w:val="24"/>
        </w:rPr>
        <w:t xml:space="preserve"> decolonising medieval studies</w:t>
      </w:r>
      <w:r>
        <w:rPr>
          <w:rFonts w:ascii="Times New Roman" w:hAnsi="Times New Roman" w:cs="Times New Roman"/>
          <w:sz w:val="24"/>
          <w:szCs w:val="24"/>
        </w:rPr>
        <w:t>:</w:t>
      </w:r>
      <w:r w:rsidR="00164452">
        <w:rPr>
          <w:rFonts w:ascii="Times New Roman" w:hAnsi="Times New Roman" w:cs="Times New Roman"/>
          <w:sz w:val="24"/>
          <w:szCs w:val="24"/>
        </w:rPr>
        <w:t xml:space="preserve"> </w:t>
      </w:r>
      <w:r w:rsidR="00E22DE3">
        <w:rPr>
          <w:rFonts w:ascii="Times New Roman" w:hAnsi="Times New Roman" w:cs="Times New Roman"/>
          <w:sz w:val="24"/>
          <w:szCs w:val="24"/>
        </w:rPr>
        <w:t>T</w:t>
      </w:r>
      <w:r w:rsidR="00164452">
        <w:rPr>
          <w:rFonts w:ascii="Times New Roman" w:hAnsi="Times New Roman" w:cs="Times New Roman"/>
          <w:sz w:val="24"/>
          <w:szCs w:val="24"/>
        </w:rPr>
        <w:t>emporality and sovereignty</w:t>
      </w:r>
    </w:p>
    <w:p w14:paraId="0A755BC0" w14:textId="77777777" w:rsidR="00164452" w:rsidRDefault="00164452" w:rsidP="000F6DCC">
      <w:pPr>
        <w:widowControl w:val="0"/>
        <w:autoSpaceDE w:val="0"/>
        <w:autoSpaceDN w:val="0"/>
        <w:adjustRightInd w:val="0"/>
        <w:spacing w:line="480" w:lineRule="auto"/>
        <w:jc w:val="right"/>
        <w:rPr>
          <w:rFonts w:ascii="Times New Roman" w:hAnsi="Times New Roman" w:cs="Times New Roman"/>
          <w:sz w:val="24"/>
          <w:szCs w:val="24"/>
        </w:rPr>
      </w:pPr>
    </w:p>
    <w:p w14:paraId="2A28E4C4" w14:textId="216713F5" w:rsidR="00534553" w:rsidRPr="00AF6C85" w:rsidRDefault="00534553" w:rsidP="000F6DCC">
      <w:pPr>
        <w:widowControl w:val="0"/>
        <w:autoSpaceDE w:val="0"/>
        <w:autoSpaceDN w:val="0"/>
        <w:adjustRightInd w:val="0"/>
        <w:spacing w:line="480" w:lineRule="auto"/>
        <w:jc w:val="right"/>
        <w:rPr>
          <w:rFonts w:ascii="Times New Roman" w:hAnsi="Times New Roman" w:cs="Times New Roman"/>
          <w:sz w:val="24"/>
          <w:szCs w:val="24"/>
        </w:rPr>
      </w:pPr>
      <w:r w:rsidRPr="00AF6C85">
        <w:rPr>
          <w:rFonts w:ascii="Times New Roman" w:hAnsi="Times New Roman" w:cs="Times New Roman"/>
          <w:sz w:val="24"/>
          <w:szCs w:val="24"/>
        </w:rPr>
        <w:t>The ancient Britons, in the time of Caesar painted their bodies, as the present Cherokees of North America; because it would naturally enough occur to the wild people of every country, that by this practice they might render themselves terrible to their enemies: Nor will this prove that the Cherokees are descended from the ancient Britons.</w:t>
      </w:r>
    </w:p>
    <w:p w14:paraId="18C977DB" w14:textId="3D31B31C" w:rsidR="00EB1EDD" w:rsidRPr="00AF6C85" w:rsidRDefault="00060628" w:rsidP="002C6566">
      <w:pPr>
        <w:widowControl w:val="0"/>
        <w:autoSpaceDE w:val="0"/>
        <w:autoSpaceDN w:val="0"/>
        <w:adjustRightInd w:val="0"/>
        <w:spacing w:line="480" w:lineRule="auto"/>
        <w:jc w:val="right"/>
        <w:rPr>
          <w:rFonts w:ascii="Times New Roman" w:hAnsi="Times New Roman" w:cs="Times New Roman"/>
          <w:sz w:val="24"/>
          <w:szCs w:val="24"/>
        </w:rPr>
      </w:pPr>
      <w:r w:rsidRPr="00AF6C85">
        <w:rPr>
          <w:rFonts w:ascii="Times New Roman" w:hAnsi="Times New Roman" w:cs="Times New Roman"/>
          <w:sz w:val="24"/>
          <w:szCs w:val="24"/>
        </w:rPr>
        <w:t>Thomas Percy,</w:t>
      </w:r>
      <w:r w:rsidR="000F6DCC" w:rsidRPr="00AF6C85">
        <w:rPr>
          <w:rFonts w:ascii="Times New Roman" w:hAnsi="Times New Roman" w:cs="Times New Roman"/>
          <w:sz w:val="24"/>
          <w:szCs w:val="24"/>
        </w:rPr>
        <w:t xml:space="preserve"> </w:t>
      </w:r>
      <w:r w:rsidR="000F6DCC" w:rsidRPr="00AF6C85">
        <w:rPr>
          <w:rFonts w:ascii="Times New Roman" w:hAnsi="Times New Roman" w:cs="Times New Roman"/>
          <w:i/>
          <w:noProof/>
          <w:sz w:val="24"/>
          <w:szCs w:val="24"/>
        </w:rPr>
        <w:t xml:space="preserve">Northern Antiquities: Or, A Description of the Manners, Customs, Religion and Laws of the Ancient Danes, and Other Northern Nations; Including Those of Our Own Saxon Ancestors, With a Translation of the Edda, Or System of Runic Mythology, And Other Pieces </w:t>
      </w:r>
      <w:r w:rsidR="000F6DCC" w:rsidRPr="00AF6C85">
        <w:rPr>
          <w:rFonts w:ascii="Times New Roman" w:hAnsi="Times New Roman" w:cs="Times New Roman"/>
          <w:noProof/>
          <w:sz w:val="24"/>
          <w:szCs w:val="24"/>
        </w:rPr>
        <w:t>(1770)</w:t>
      </w:r>
      <w:r w:rsidR="000F6DCC" w:rsidRPr="00AF6C85">
        <w:rPr>
          <w:rFonts w:ascii="Times New Roman" w:hAnsi="Times New Roman" w:cs="Times New Roman"/>
          <w:i/>
          <w:noProof/>
          <w:sz w:val="24"/>
          <w:szCs w:val="24"/>
        </w:rPr>
        <w:t>.</w:t>
      </w:r>
      <w:r w:rsidRPr="00AF6C85">
        <w:rPr>
          <w:rFonts w:ascii="Times New Roman" w:hAnsi="Times New Roman" w:cs="Times New Roman"/>
          <w:i/>
          <w:sz w:val="24"/>
          <w:szCs w:val="24"/>
        </w:rPr>
        <w:t xml:space="preserve"> </w:t>
      </w:r>
      <w:r w:rsidR="00EB1EDD" w:rsidRPr="00AF6C85">
        <w:rPr>
          <w:rStyle w:val="EndnoteReference"/>
          <w:rFonts w:ascii="Times New Roman" w:hAnsi="Times New Roman" w:cs="Times New Roman"/>
          <w:i/>
          <w:sz w:val="24"/>
          <w:szCs w:val="24"/>
        </w:rPr>
        <w:endnoteReference w:id="1"/>
      </w:r>
    </w:p>
    <w:p w14:paraId="244C4A81" w14:textId="70CAFF80" w:rsidR="003B4870" w:rsidRDefault="00901905" w:rsidP="003B4870">
      <w:pPr>
        <w:spacing w:line="480" w:lineRule="auto"/>
        <w:rPr>
          <w:rFonts w:ascii="Times New Roman" w:hAnsi="Times New Roman" w:cs="Times New Roman"/>
          <w:sz w:val="24"/>
          <w:szCs w:val="24"/>
        </w:rPr>
      </w:pPr>
      <w:r>
        <w:rPr>
          <w:rFonts w:ascii="Times New Roman" w:hAnsi="Times New Roman" w:cs="Times New Roman"/>
          <w:sz w:val="24"/>
          <w:szCs w:val="24"/>
        </w:rPr>
        <w:t>Medievalism in the late-eighteenth century served the interests of imperial and colonial projects with global reach, and continues to do so;</w:t>
      </w:r>
      <w:r w:rsidR="00993A14">
        <w:rPr>
          <w:rStyle w:val="EndnoteReference"/>
          <w:rFonts w:ascii="Times New Roman" w:hAnsi="Times New Roman" w:cs="Times New Roman"/>
          <w:sz w:val="24"/>
          <w:szCs w:val="24"/>
        </w:rPr>
        <w:endnoteReference w:id="2"/>
      </w:r>
      <w:r w:rsidR="00993A14">
        <w:rPr>
          <w:rFonts w:ascii="Times New Roman" w:hAnsi="Times New Roman" w:cs="Times New Roman"/>
          <w:sz w:val="24"/>
          <w:szCs w:val="24"/>
        </w:rPr>
        <w:t xml:space="preserve"> </w:t>
      </w:r>
      <w:r>
        <w:rPr>
          <w:rFonts w:ascii="Times New Roman" w:hAnsi="Times New Roman" w:cs="Times New Roman"/>
          <w:sz w:val="24"/>
          <w:szCs w:val="24"/>
        </w:rPr>
        <w:t>Indigenous peoples in numerous places and time were and are Othered through medievalist temporalities.</w:t>
      </w:r>
      <w:r>
        <w:rPr>
          <w:rStyle w:val="EndnoteReference"/>
          <w:rFonts w:ascii="Times New Roman" w:hAnsi="Times New Roman" w:cs="Times New Roman"/>
          <w:sz w:val="24"/>
          <w:szCs w:val="24"/>
        </w:rPr>
        <w:endnoteReference w:id="3"/>
      </w:r>
      <w:r>
        <w:rPr>
          <w:rFonts w:ascii="Times New Roman" w:hAnsi="Times New Roman" w:cs="Times New Roman"/>
          <w:sz w:val="24"/>
          <w:szCs w:val="24"/>
        </w:rPr>
        <w:t xml:space="preserve"> </w:t>
      </w:r>
      <w:r w:rsidR="004514A2" w:rsidRPr="00AF6C85">
        <w:rPr>
          <w:rFonts w:ascii="Times New Roman" w:hAnsi="Times New Roman" w:cs="Times New Roman"/>
          <w:sz w:val="24"/>
          <w:szCs w:val="24"/>
        </w:rPr>
        <w:t xml:space="preserve">The Cherokee in </w:t>
      </w:r>
      <w:r w:rsidR="006B2D9D">
        <w:rPr>
          <w:rFonts w:ascii="Times New Roman" w:hAnsi="Times New Roman" w:cs="Times New Roman"/>
          <w:sz w:val="24"/>
          <w:szCs w:val="24"/>
        </w:rPr>
        <w:t xml:space="preserve">Thomas </w:t>
      </w:r>
      <w:r>
        <w:rPr>
          <w:rFonts w:ascii="Times New Roman" w:hAnsi="Times New Roman" w:cs="Times New Roman"/>
          <w:sz w:val="24"/>
          <w:szCs w:val="24"/>
        </w:rPr>
        <w:t>Percy’s</w:t>
      </w:r>
      <w:r w:rsidR="004514A2" w:rsidRPr="00AF6C85">
        <w:rPr>
          <w:rFonts w:ascii="Times New Roman" w:hAnsi="Times New Roman" w:cs="Times New Roman"/>
          <w:sz w:val="24"/>
          <w:szCs w:val="24"/>
        </w:rPr>
        <w:t xml:space="preserve"> </w:t>
      </w:r>
      <w:r>
        <w:rPr>
          <w:rFonts w:ascii="Times New Roman" w:hAnsi="Times New Roman" w:cs="Times New Roman"/>
          <w:sz w:val="24"/>
          <w:szCs w:val="24"/>
        </w:rPr>
        <w:t>comment</w:t>
      </w:r>
      <w:r w:rsidR="004514A2" w:rsidRPr="00AF6C85">
        <w:rPr>
          <w:rFonts w:ascii="Times New Roman" w:hAnsi="Times New Roman" w:cs="Times New Roman"/>
          <w:sz w:val="24"/>
          <w:szCs w:val="24"/>
        </w:rPr>
        <w:t xml:space="preserve"> are, as Martin Nakata has written of Torres Strait Islanders, positioned and understood “as a society from the past rather than one with a past;” Percy, like British missionaries in the</w:t>
      </w:r>
      <w:r w:rsidR="00E85B7F">
        <w:rPr>
          <w:rFonts w:ascii="Times New Roman" w:hAnsi="Times New Roman" w:cs="Times New Roman"/>
          <w:sz w:val="24"/>
          <w:szCs w:val="24"/>
        </w:rPr>
        <w:t xml:space="preserve"> Torres Strait</w:t>
      </w:r>
      <w:r w:rsidR="004514A2" w:rsidRPr="00AF6C85">
        <w:rPr>
          <w:rFonts w:ascii="Times New Roman" w:hAnsi="Times New Roman" w:cs="Times New Roman"/>
          <w:sz w:val="24"/>
          <w:szCs w:val="24"/>
        </w:rPr>
        <w:t xml:space="preserve"> </w:t>
      </w:r>
      <w:r w:rsidR="008C4CEC">
        <w:rPr>
          <w:rFonts w:ascii="Times New Roman" w:hAnsi="Times New Roman" w:cs="Times New Roman"/>
          <w:sz w:val="24"/>
          <w:szCs w:val="24"/>
        </w:rPr>
        <w:t xml:space="preserve">a hemisphere away </w:t>
      </w:r>
      <w:r>
        <w:rPr>
          <w:rFonts w:ascii="Times New Roman" w:hAnsi="Times New Roman" w:cs="Times New Roman"/>
          <w:sz w:val="24"/>
          <w:szCs w:val="24"/>
        </w:rPr>
        <w:t xml:space="preserve">and a century later, </w:t>
      </w:r>
      <w:r w:rsidR="004514A2" w:rsidRPr="00AF6C85">
        <w:rPr>
          <w:rFonts w:ascii="Times New Roman" w:hAnsi="Times New Roman" w:cs="Times New Roman"/>
          <w:sz w:val="24"/>
          <w:szCs w:val="24"/>
        </w:rPr>
        <w:t>used “developments in the civilised world as a benchmark” to render “the ‘uncivilised’ world … as static.”</w:t>
      </w:r>
      <w:r w:rsidR="004514A2" w:rsidRPr="00AF6C85">
        <w:rPr>
          <w:rStyle w:val="EndnoteReference"/>
          <w:rFonts w:ascii="Times New Roman" w:hAnsi="Times New Roman" w:cs="Times New Roman"/>
          <w:sz w:val="24"/>
          <w:szCs w:val="24"/>
        </w:rPr>
        <w:endnoteReference w:id="4"/>
      </w:r>
      <w:r w:rsidR="004514A2" w:rsidRPr="00AF6C85">
        <w:rPr>
          <w:rFonts w:ascii="Times New Roman" w:hAnsi="Times New Roman" w:cs="Times New Roman"/>
          <w:sz w:val="24"/>
          <w:szCs w:val="24"/>
        </w:rPr>
        <w:t xml:space="preserve"> The Cherokee, </w:t>
      </w:r>
      <w:r w:rsidR="0026297C">
        <w:rPr>
          <w:rFonts w:ascii="Times New Roman" w:hAnsi="Times New Roman" w:cs="Times New Roman"/>
          <w:sz w:val="24"/>
          <w:szCs w:val="24"/>
        </w:rPr>
        <w:t>for Percy</w:t>
      </w:r>
      <w:r w:rsidR="00164452">
        <w:rPr>
          <w:rFonts w:ascii="Times New Roman" w:hAnsi="Times New Roman" w:cs="Times New Roman"/>
          <w:sz w:val="24"/>
          <w:szCs w:val="24"/>
        </w:rPr>
        <w:t>, are ‘medieval-like</w:t>
      </w:r>
      <w:r w:rsidR="004514A2" w:rsidRPr="00AF6C85">
        <w:rPr>
          <w:rFonts w:ascii="Times New Roman" w:hAnsi="Times New Roman" w:cs="Times New Roman"/>
          <w:sz w:val="24"/>
          <w:szCs w:val="24"/>
        </w:rPr>
        <w:t xml:space="preserve">’ in the wrong time (the medieval </w:t>
      </w:r>
      <w:r w:rsidR="00164452">
        <w:rPr>
          <w:rFonts w:ascii="Times New Roman" w:hAnsi="Times New Roman" w:cs="Times New Roman"/>
          <w:sz w:val="24"/>
          <w:szCs w:val="24"/>
        </w:rPr>
        <w:t xml:space="preserve">is </w:t>
      </w:r>
      <w:r w:rsidR="004514A2" w:rsidRPr="00AF6C85">
        <w:rPr>
          <w:rFonts w:ascii="Times New Roman" w:hAnsi="Times New Roman" w:cs="Times New Roman"/>
          <w:sz w:val="24"/>
          <w:szCs w:val="24"/>
        </w:rPr>
        <w:t xml:space="preserve">necessarily in the past of modernity) and are thus “wild” because of their </w:t>
      </w:r>
      <w:r w:rsidR="00E85B7F">
        <w:rPr>
          <w:rFonts w:ascii="Times New Roman" w:hAnsi="Times New Roman" w:cs="Times New Roman"/>
          <w:sz w:val="24"/>
          <w:szCs w:val="24"/>
        </w:rPr>
        <w:t xml:space="preserve">supposed </w:t>
      </w:r>
      <w:r w:rsidR="004514A2" w:rsidRPr="00AF6C85">
        <w:rPr>
          <w:rFonts w:ascii="Times New Roman" w:hAnsi="Times New Roman" w:cs="Times New Roman"/>
          <w:sz w:val="24"/>
          <w:szCs w:val="24"/>
        </w:rPr>
        <w:t>f</w:t>
      </w:r>
      <w:r w:rsidR="00806C44">
        <w:rPr>
          <w:rFonts w:ascii="Times New Roman" w:hAnsi="Times New Roman" w:cs="Times New Roman"/>
          <w:sz w:val="24"/>
          <w:szCs w:val="24"/>
        </w:rPr>
        <w:t>ailure or inability to progress.</w:t>
      </w:r>
      <w:r w:rsidR="00ED11B4" w:rsidRPr="00AF6C85">
        <w:rPr>
          <w:rStyle w:val="EndnoteReference"/>
          <w:rFonts w:ascii="Times New Roman" w:hAnsi="Times New Roman" w:cs="Times New Roman"/>
          <w:sz w:val="24"/>
          <w:szCs w:val="24"/>
        </w:rPr>
        <w:endnoteReference w:id="5"/>
      </w:r>
      <w:r w:rsidR="004514A2" w:rsidRPr="00AF6C85">
        <w:rPr>
          <w:rFonts w:ascii="Times New Roman" w:hAnsi="Times New Roman" w:cs="Times New Roman"/>
          <w:sz w:val="24"/>
          <w:szCs w:val="24"/>
        </w:rPr>
        <w:t xml:space="preserve"> </w:t>
      </w:r>
      <w:r w:rsidR="00806C44">
        <w:rPr>
          <w:rFonts w:ascii="Times New Roman" w:hAnsi="Times New Roman" w:cs="Times New Roman"/>
          <w:sz w:val="24"/>
          <w:szCs w:val="24"/>
        </w:rPr>
        <w:t>T</w:t>
      </w:r>
      <w:r w:rsidR="004514A2" w:rsidRPr="00AF6C85">
        <w:rPr>
          <w:rFonts w:ascii="Times New Roman" w:hAnsi="Times New Roman" w:cs="Times New Roman"/>
          <w:sz w:val="24"/>
          <w:szCs w:val="24"/>
        </w:rPr>
        <w:t>his</w:t>
      </w:r>
      <w:r w:rsidR="00A268C6" w:rsidRPr="00AF6C85">
        <w:rPr>
          <w:rFonts w:ascii="Times New Roman" w:hAnsi="Times New Roman" w:cs="Times New Roman"/>
          <w:sz w:val="24"/>
          <w:szCs w:val="24"/>
        </w:rPr>
        <w:t xml:space="preserve"> framing</w:t>
      </w:r>
      <w:r w:rsidR="004514A2" w:rsidRPr="00AF6C85">
        <w:rPr>
          <w:rFonts w:ascii="Times New Roman" w:hAnsi="Times New Roman" w:cs="Times New Roman"/>
          <w:sz w:val="24"/>
          <w:szCs w:val="24"/>
        </w:rPr>
        <w:t xml:space="preserve"> is</w:t>
      </w:r>
      <w:r w:rsidR="00A268C6" w:rsidRPr="00AF6C85">
        <w:rPr>
          <w:rFonts w:ascii="Times New Roman" w:hAnsi="Times New Roman" w:cs="Times New Roman"/>
          <w:sz w:val="24"/>
          <w:szCs w:val="24"/>
        </w:rPr>
        <w:t xml:space="preserve"> both</w:t>
      </w:r>
      <w:r w:rsidR="004514A2" w:rsidRPr="00AF6C85">
        <w:rPr>
          <w:rFonts w:ascii="Times New Roman" w:hAnsi="Times New Roman" w:cs="Times New Roman"/>
          <w:sz w:val="24"/>
          <w:szCs w:val="24"/>
        </w:rPr>
        <w:t xml:space="preserve"> a product </w:t>
      </w:r>
      <w:r w:rsidR="00A268C6" w:rsidRPr="00AF6C85">
        <w:rPr>
          <w:rFonts w:ascii="Times New Roman" w:hAnsi="Times New Roman" w:cs="Times New Roman"/>
          <w:sz w:val="24"/>
          <w:szCs w:val="24"/>
        </w:rPr>
        <w:t xml:space="preserve">and a reinforcement </w:t>
      </w:r>
      <w:r w:rsidR="004514A2" w:rsidRPr="00AF6C85">
        <w:rPr>
          <w:rFonts w:ascii="Times New Roman" w:hAnsi="Times New Roman" w:cs="Times New Roman"/>
          <w:sz w:val="24"/>
          <w:szCs w:val="24"/>
        </w:rPr>
        <w:t>of entanglements between European colonialism and race</w:t>
      </w:r>
      <w:r w:rsidR="00A268C6" w:rsidRPr="00AF6C85">
        <w:rPr>
          <w:rFonts w:ascii="Times New Roman" w:hAnsi="Times New Roman" w:cs="Times New Roman"/>
          <w:sz w:val="24"/>
          <w:szCs w:val="24"/>
        </w:rPr>
        <w:t>,</w:t>
      </w:r>
      <w:r w:rsidR="004514A2" w:rsidRPr="00AF6C85">
        <w:rPr>
          <w:rFonts w:ascii="Times New Roman" w:hAnsi="Times New Roman" w:cs="Times New Roman"/>
          <w:sz w:val="24"/>
          <w:szCs w:val="24"/>
        </w:rPr>
        <w:t xml:space="preserve"> and was broadly applied </w:t>
      </w:r>
      <w:r w:rsidR="00A268C6" w:rsidRPr="00AF6C85">
        <w:rPr>
          <w:rFonts w:ascii="Times New Roman" w:hAnsi="Times New Roman" w:cs="Times New Roman"/>
          <w:sz w:val="24"/>
          <w:szCs w:val="24"/>
        </w:rPr>
        <w:t>by Europeans around the globe in the construction and maintenance of racial hierarchies.</w:t>
      </w:r>
      <w:r w:rsidR="004514A2" w:rsidRPr="00AF6C85">
        <w:rPr>
          <w:rFonts w:ascii="Times New Roman" w:hAnsi="Times New Roman" w:cs="Times New Roman"/>
          <w:sz w:val="24"/>
          <w:szCs w:val="24"/>
        </w:rPr>
        <w:t xml:space="preserve"> </w:t>
      </w:r>
      <w:r w:rsidR="00164452">
        <w:rPr>
          <w:rFonts w:ascii="Times New Roman" w:hAnsi="Times New Roman" w:cs="Times New Roman"/>
          <w:sz w:val="24"/>
          <w:szCs w:val="24"/>
        </w:rPr>
        <w:t>“</w:t>
      </w:r>
      <w:r w:rsidR="004514A2" w:rsidRPr="00AF6C85">
        <w:rPr>
          <w:rFonts w:ascii="Times New Roman" w:hAnsi="Times New Roman" w:cs="Times New Roman"/>
          <w:sz w:val="24"/>
          <w:szCs w:val="24"/>
        </w:rPr>
        <w:t>Time,</w:t>
      </w:r>
      <w:r w:rsidR="00164452">
        <w:rPr>
          <w:rFonts w:ascii="Times New Roman" w:hAnsi="Times New Roman" w:cs="Times New Roman"/>
          <w:sz w:val="24"/>
          <w:szCs w:val="24"/>
        </w:rPr>
        <w:t>”</w:t>
      </w:r>
      <w:r w:rsidR="004514A2" w:rsidRPr="00AF6C85">
        <w:rPr>
          <w:rFonts w:ascii="Times New Roman" w:hAnsi="Times New Roman" w:cs="Times New Roman"/>
          <w:sz w:val="24"/>
          <w:szCs w:val="24"/>
        </w:rPr>
        <w:t xml:space="preserve"> as Emma Kowal argues, “is a crucial mechanism through which Indigenous-</w:t>
      </w:r>
      <w:r w:rsidR="00164452">
        <w:rPr>
          <w:rFonts w:ascii="Times New Roman" w:hAnsi="Times New Roman" w:cs="Times New Roman"/>
          <w:sz w:val="24"/>
          <w:szCs w:val="24"/>
        </w:rPr>
        <w:t>Western</w:t>
      </w:r>
      <w:r w:rsidR="004514A2" w:rsidRPr="00AF6C85">
        <w:rPr>
          <w:rFonts w:ascii="Times New Roman" w:hAnsi="Times New Roman" w:cs="Times New Roman"/>
          <w:sz w:val="24"/>
          <w:szCs w:val="24"/>
        </w:rPr>
        <w:t xml:space="preserve"> dichotomies are created and </w:t>
      </w:r>
      <w:r w:rsidR="004514A2" w:rsidRPr="00AF6C85">
        <w:rPr>
          <w:rFonts w:ascii="Times New Roman" w:hAnsi="Times New Roman" w:cs="Times New Roman"/>
          <w:sz w:val="24"/>
          <w:szCs w:val="24"/>
        </w:rPr>
        <w:lastRenderedPageBreak/>
        <w:t>maintained and an enduring trope of difference in the settler-colonial imaginary.”</w:t>
      </w:r>
      <w:r w:rsidR="004514A2" w:rsidRPr="00AF6C85">
        <w:rPr>
          <w:rStyle w:val="EndnoteReference"/>
          <w:rFonts w:ascii="Times New Roman" w:hAnsi="Times New Roman" w:cs="Times New Roman"/>
          <w:sz w:val="24"/>
          <w:szCs w:val="24"/>
        </w:rPr>
        <w:endnoteReference w:id="6"/>
      </w:r>
      <w:r w:rsidR="004514A2" w:rsidRPr="00AF6C85">
        <w:rPr>
          <w:rFonts w:ascii="Times New Roman" w:hAnsi="Times New Roman" w:cs="Times New Roman"/>
          <w:sz w:val="24"/>
          <w:szCs w:val="24"/>
        </w:rPr>
        <w:t xml:space="preserve"> </w:t>
      </w:r>
      <w:r w:rsidR="003B4870">
        <w:rPr>
          <w:rFonts w:ascii="Times New Roman" w:hAnsi="Times New Roman" w:cs="Times New Roman"/>
          <w:sz w:val="24"/>
          <w:szCs w:val="24"/>
        </w:rPr>
        <w:t>A</w:t>
      </w:r>
      <w:r w:rsidR="003B4870" w:rsidRPr="00AF6C85">
        <w:rPr>
          <w:rFonts w:ascii="Times New Roman" w:hAnsi="Times New Roman" w:cs="Times New Roman"/>
          <w:sz w:val="24"/>
          <w:szCs w:val="24"/>
        </w:rPr>
        <w:t xml:space="preserve">ssignations of a teleological temporality – who can be ‘medieval’ and when – were and remain a critical tool in managing </w:t>
      </w:r>
      <w:r w:rsidR="003B4870">
        <w:rPr>
          <w:rFonts w:ascii="Times New Roman" w:hAnsi="Times New Roman" w:cs="Times New Roman"/>
          <w:sz w:val="24"/>
          <w:szCs w:val="24"/>
        </w:rPr>
        <w:t xml:space="preserve">white </w:t>
      </w:r>
      <w:r w:rsidR="003B4870" w:rsidRPr="00AF6C85">
        <w:rPr>
          <w:rFonts w:ascii="Times New Roman" w:hAnsi="Times New Roman" w:cs="Times New Roman"/>
          <w:sz w:val="24"/>
          <w:szCs w:val="24"/>
        </w:rPr>
        <w:t>racial colonial power structures.</w:t>
      </w:r>
      <w:r w:rsidR="003B4870" w:rsidRPr="00AF6C85">
        <w:rPr>
          <w:rStyle w:val="EndnoteReference"/>
          <w:rFonts w:ascii="Times New Roman" w:hAnsi="Times New Roman" w:cs="Times New Roman"/>
          <w:sz w:val="24"/>
          <w:szCs w:val="24"/>
        </w:rPr>
        <w:endnoteReference w:id="7"/>
      </w:r>
      <w:r w:rsidR="003B4870">
        <w:rPr>
          <w:rFonts w:ascii="Times New Roman" w:hAnsi="Times New Roman" w:cs="Times New Roman"/>
          <w:sz w:val="24"/>
          <w:szCs w:val="24"/>
        </w:rPr>
        <w:t xml:space="preserve"> </w:t>
      </w:r>
      <w:r w:rsidR="004514A2" w:rsidRPr="00AF6C85">
        <w:rPr>
          <w:rFonts w:ascii="Times New Roman" w:hAnsi="Times New Roman" w:cs="Times New Roman"/>
          <w:sz w:val="24"/>
          <w:szCs w:val="24"/>
        </w:rPr>
        <w:t>Medieval studies</w:t>
      </w:r>
      <w:r w:rsidR="00520B1B">
        <w:rPr>
          <w:rFonts w:ascii="Times New Roman" w:hAnsi="Times New Roman" w:cs="Times New Roman"/>
          <w:sz w:val="24"/>
          <w:szCs w:val="24"/>
        </w:rPr>
        <w:t xml:space="preserve"> as an academic field</w:t>
      </w:r>
      <w:r w:rsidR="004514A2" w:rsidRPr="00AF6C85">
        <w:rPr>
          <w:rFonts w:ascii="Times New Roman" w:hAnsi="Times New Roman" w:cs="Times New Roman"/>
          <w:sz w:val="24"/>
          <w:szCs w:val="24"/>
        </w:rPr>
        <w:t xml:space="preserve"> – which I consider here to be a form of the much broader practice of medievalism – is </w:t>
      </w:r>
      <w:r w:rsidR="00520B1B">
        <w:rPr>
          <w:rFonts w:ascii="Times New Roman" w:hAnsi="Times New Roman" w:cs="Times New Roman"/>
          <w:sz w:val="24"/>
          <w:szCs w:val="24"/>
        </w:rPr>
        <w:t>foundationally</w:t>
      </w:r>
      <w:r w:rsidR="004514A2" w:rsidRPr="00AF6C85">
        <w:rPr>
          <w:rFonts w:ascii="Times New Roman" w:hAnsi="Times New Roman" w:cs="Times New Roman"/>
          <w:sz w:val="24"/>
          <w:szCs w:val="24"/>
        </w:rPr>
        <w:t xml:space="preserve"> </w:t>
      </w:r>
      <w:r w:rsidR="00164452">
        <w:rPr>
          <w:rFonts w:ascii="Times New Roman" w:hAnsi="Times New Roman" w:cs="Times New Roman"/>
          <w:sz w:val="24"/>
          <w:szCs w:val="24"/>
        </w:rPr>
        <w:t>invested</w:t>
      </w:r>
      <w:r w:rsidR="004514A2" w:rsidRPr="00AF6C85">
        <w:rPr>
          <w:rFonts w:ascii="Times New Roman" w:hAnsi="Times New Roman" w:cs="Times New Roman"/>
          <w:sz w:val="24"/>
          <w:szCs w:val="24"/>
        </w:rPr>
        <w:t xml:space="preserve"> in </w:t>
      </w:r>
      <w:r w:rsidR="00520B1B">
        <w:rPr>
          <w:rFonts w:ascii="Times New Roman" w:hAnsi="Times New Roman" w:cs="Times New Roman"/>
          <w:sz w:val="24"/>
          <w:szCs w:val="24"/>
        </w:rPr>
        <w:t xml:space="preserve">racialized and racializing white </w:t>
      </w:r>
      <w:r w:rsidR="00E22DE3">
        <w:rPr>
          <w:rFonts w:ascii="Times New Roman" w:hAnsi="Times New Roman" w:cs="Times New Roman"/>
          <w:sz w:val="24"/>
          <w:szCs w:val="24"/>
        </w:rPr>
        <w:t>colonialist</w:t>
      </w:r>
      <w:r w:rsidR="004514A2" w:rsidRPr="00AF6C85">
        <w:rPr>
          <w:rFonts w:ascii="Times New Roman" w:hAnsi="Times New Roman" w:cs="Times New Roman"/>
          <w:sz w:val="24"/>
          <w:szCs w:val="24"/>
        </w:rPr>
        <w:t xml:space="preserve"> temporalities bec</w:t>
      </w:r>
      <w:r w:rsidR="00520B1B">
        <w:rPr>
          <w:rFonts w:ascii="Times New Roman" w:hAnsi="Times New Roman" w:cs="Times New Roman"/>
          <w:sz w:val="24"/>
          <w:szCs w:val="24"/>
        </w:rPr>
        <w:t>ause the object of its study is by definition</w:t>
      </w:r>
      <w:r w:rsidR="004514A2" w:rsidRPr="00AF6C85">
        <w:rPr>
          <w:rFonts w:ascii="Times New Roman" w:hAnsi="Times New Roman" w:cs="Times New Roman"/>
          <w:sz w:val="24"/>
          <w:szCs w:val="24"/>
        </w:rPr>
        <w:t xml:space="preserve"> premodern</w:t>
      </w:r>
      <w:r w:rsidR="00520B1B">
        <w:rPr>
          <w:rFonts w:ascii="Times New Roman" w:hAnsi="Times New Roman" w:cs="Times New Roman"/>
          <w:sz w:val="24"/>
          <w:szCs w:val="24"/>
        </w:rPr>
        <w:t>; the Middle Ages were</w:t>
      </w:r>
      <w:r w:rsidR="004514A2" w:rsidRPr="00AF6C85">
        <w:rPr>
          <w:rFonts w:ascii="Times New Roman" w:hAnsi="Times New Roman" w:cs="Times New Roman"/>
          <w:sz w:val="24"/>
          <w:szCs w:val="24"/>
        </w:rPr>
        <w:t xml:space="preserve"> invented to be an Other to European modernity.</w:t>
      </w:r>
      <w:r w:rsidR="004514A2" w:rsidRPr="00AF6C85">
        <w:rPr>
          <w:rStyle w:val="EndnoteReference"/>
          <w:rFonts w:ascii="Times New Roman" w:hAnsi="Times New Roman" w:cs="Times New Roman"/>
          <w:sz w:val="24"/>
          <w:szCs w:val="24"/>
        </w:rPr>
        <w:endnoteReference w:id="8"/>
      </w:r>
      <w:r w:rsidR="004514A2" w:rsidRPr="00AF6C85">
        <w:rPr>
          <w:rFonts w:ascii="Times New Roman" w:hAnsi="Times New Roman" w:cs="Times New Roman"/>
          <w:sz w:val="24"/>
          <w:szCs w:val="24"/>
        </w:rPr>
        <w:t xml:space="preserve"> </w:t>
      </w:r>
      <w:r w:rsidR="003B4870">
        <w:rPr>
          <w:rFonts w:ascii="Times New Roman" w:hAnsi="Times New Roman" w:cs="Times New Roman"/>
          <w:sz w:val="24"/>
          <w:szCs w:val="24"/>
        </w:rPr>
        <w:t>What, then, can medieval studies offer Indigenous studies?</w:t>
      </w:r>
      <w:r w:rsidR="00806C44">
        <w:rPr>
          <w:rFonts w:ascii="Times New Roman" w:hAnsi="Times New Roman" w:cs="Times New Roman"/>
          <w:sz w:val="24"/>
          <w:szCs w:val="24"/>
        </w:rPr>
        <w:t xml:space="preserve"> This article seeks answers to that question through an exploration of the imbrications of medievalism and legal recognition of Indigenous sovereignty in the settler colonial nation of Australia, focussing particularly on temporality.</w:t>
      </w:r>
    </w:p>
    <w:p w14:paraId="501D1014" w14:textId="622128B0" w:rsidR="003B4870" w:rsidRDefault="003B4870" w:rsidP="003B4870">
      <w:pPr>
        <w:spacing w:line="480" w:lineRule="auto"/>
        <w:rPr>
          <w:rFonts w:ascii="Times New Roman" w:hAnsi="Times New Roman" w:cs="Times New Roman"/>
          <w:sz w:val="24"/>
          <w:szCs w:val="24"/>
        </w:rPr>
      </w:pPr>
    </w:p>
    <w:p w14:paraId="3F843DC6" w14:textId="2CBBC904" w:rsidR="000E4315" w:rsidRDefault="00ED11B4" w:rsidP="003B4870">
      <w:pPr>
        <w:spacing w:line="480" w:lineRule="auto"/>
        <w:rPr>
          <w:rFonts w:ascii="Times New Roman" w:hAnsi="Times New Roman" w:cs="Times New Roman"/>
          <w:sz w:val="24"/>
          <w:szCs w:val="24"/>
        </w:rPr>
      </w:pPr>
      <w:r w:rsidRPr="00806C44">
        <w:rPr>
          <w:rFonts w:ascii="Times New Roman" w:hAnsi="Times New Roman" w:cs="Times New Roman"/>
          <w:sz w:val="24"/>
          <w:szCs w:val="24"/>
        </w:rPr>
        <w:t>Medieval studies, because of its long and ongoing imbrication with white racism, imperialism and settler colonialism, has a particular ethical obligation to actively contribute to decolonisation by addressing impacts of ‘the medieval’ on Indigenous lives.</w:t>
      </w:r>
      <w:r>
        <w:rPr>
          <w:rFonts w:ascii="Times New Roman" w:hAnsi="Times New Roman" w:cs="Times New Roman"/>
          <w:sz w:val="24"/>
          <w:szCs w:val="24"/>
        </w:rPr>
        <w:t xml:space="preserve"> </w:t>
      </w:r>
      <w:r w:rsidR="00806C44">
        <w:rPr>
          <w:rFonts w:ascii="Times New Roman" w:hAnsi="Times New Roman" w:cs="Times New Roman"/>
          <w:sz w:val="24"/>
          <w:szCs w:val="24"/>
        </w:rPr>
        <w:t>A</w:t>
      </w:r>
      <w:r w:rsidR="00DE1A32">
        <w:rPr>
          <w:rFonts w:ascii="Times New Roman" w:hAnsi="Times New Roman" w:cs="Times New Roman"/>
          <w:sz w:val="24"/>
          <w:szCs w:val="24"/>
        </w:rPr>
        <w:t xml:space="preserve"> decolonising medieval studies can make a</w:t>
      </w:r>
      <w:r w:rsidR="00E22DE3">
        <w:rPr>
          <w:rFonts w:ascii="Times New Roman" w:hAnsi="Times New Roman" w:cs="Times New Roman"/>
          <w:sz w:val="24"/>
          <w:szCs w:val="24"/>
        </w:rPr>
        <w:t xml:space="preserve"> meaningful</w:t>
      </w:r>
      <w:r w:rsidR="00DE1A32">
        <w:rPr>
          <w:rFonts w:ascii="Times New Roman" w:hAnsi="Times New Roman" w:cs="Times New Roman"/>
          <w:sz w:val="24"/>
          <w:szCs w:val="24"/>
        </w:rPr>
        <w:t xml:space="preserve"> contribution </w:t>
      </w:r>
      <w:r w:rsidR="00E22DE3">
        <w:rPr>
          <w:rFonts w:ascii="Times New Roman" w:hAnsi="Times New Roman" w:cs="Times New Roman"/>
          <w:sz w:val="24"/>
          <w:szCs w:val="24"/>
        </w:rPr>
        <w:t xml:space="preserve">to the broad project of decolonisation </w:t>
      </w:r>
      <w:r w:rsidR="00DE1A32">
        <w:rPr>
          <w:rFonts w:ascii="Times New Roman" w:hAnsi="Times New Roman" w:cs="Times New Roman"/>
          <w:sz w:val="24"/>
          <w:szCs w:val="24"/>
        </w:rPr>
        <w:t xml:space="preserve">by highlighting ways in which medieval pasts bring colonialist dispositions to decolonising endeavours. </w:t>
      </w:r>
      <w:r w:rsidR="003B4870" w:rsidRPr="00AF6C85">
        <w:rPr>
          <w:rFonts w:ascii="Times New Roman" w:hAnsi="Times New Roman" w:cs="Times New Roman"/>
          <w:sz w:val="24"/>
          <w:szCs w:val="24"/>
        </w:rPr>
        <w:t xml:space="preserve">Linda Tuhiwai Smith </w:t>
      </w:r>
      <w:r w:rsidR="003B4870">
        <w:rPr>
          <w:rFonts w:ascii="Times New Roman" w:hAnsi="Times New Roman" w:cs="Times New Roman"/>
          <w:sz w:val="24"/>
          <w:szCs w:val="24"/>
        </w:rPr>
        <w:t>argues</w:t>
      </w:r>
      <w:r w:rsidR="003B4870" w:rsidRPr="00AF6C85">
        <w:rPr>
          <w:rFonts w:ascii="Times New Roman" w:hAnsi="Times New Roman" w:cs="Times New Roman"/>
          <w:sz w:val="24"/>
          <w:szCs w:val="24"/>
        </w:rPr>
        <w:t xml:space="preserve"> that “imperialism and colonialism, notions of Other, and theories of about human nature existed long before the Enlightenment in Western philosophy</w:t>
      </w:r>
      <w:r w:rsidR="000147C6">
        <w:rPr>
          <w:rFonts w:ascii="Times New Roman" w:hAnsi="Times New Roman" w:cs="Times New Roman"/>
          <w:sz w:val="24"/>
          <w:szCs w:val="24"/>
        </w:rPr>
        <w:t>.</w:t>
      </w:r>
      <w:r w:rsidR="003B4870" w:rsidRPr="00AF6C85">
        <w:rPr>
          <w:rFonts w:ascii="Times New Roman" w:hAnsi="Times New Roman" w:cs="Times New Roman"/>
          <w:sz w:val="24"/>
          <w:szCs w:val="24"/>
        </w:rPr>
        <w:t>”</w:t>
      </w:r>
      <w:r w:rsidR="003B4870" w:rsidRPr="00AF6C85">
        <w:rPr>
          <w:rStyle w:val="EndnoteReference"/>
          <w:rFonts w:ascii="Times New Roman" w:hAnsi="Times New Roman" w:cs="Times New Roman"/>
          <w:sz w:val="24"/>
          <w:szCs w:val="24"/>
        </w:rPr>
        <w:endnoteReference w:id="9"/>
      </w:r>
      <w:r w:rsidR="003B4870" w:rsidRPr="00AF6C85">
        <w:rPr>
          <w:rFonts w:ascii="Times New Roman" w:hAnsi="Times New Roman" w:cs="Times New Roman"/>
          <w:sz w:val="24"/>
          <w:szCs w:val="24"/>
        </w:rPr>
        <w:t xml:space="preserve"> The Western “cultural archive” contains many different traditions and ideas that are “reformed and transformed” in particular contexts and reveal “rules of practice” by which the West operates that can be made intelligible through how they have be “perpetrated on indigenous communities.”</w:t>
      </w:r>
      <w:r w:rsidR="003B4870" w:rsidRPr="00AF6C85">
        <w:rPr>
          <w:rStyle w:val="EndnoteReference"/>
          <w:rFonts w:ascii="Times New Roman" w:hAnsi="Times New Roman" w:cs="Times New Roman"/>
          <w:sz w:val="24"/>
          <w:szCs w:val="24"/>
        </w:rPr>
        <w:endnoteReference w:id="10"/>
      </w:r>
      <w:r w:rsidR="003B4870" w:rsidRPr="00AF6C85">
        <w:rPr>
          <w:rFonts w:ascii="Times New Roman" w:hAnsi="Times New Roman" w:cs="Times New Roman"/>
          <w:sz w:val="24"/>
          <w:szCs w:val="24"/>
        </w:rPr>
        <w:t xml:space="preserve"> </w:t>
      </w:r>
      <w:r w:rsidR="00806C44">
        <w:rPr>
          <w:rFonts w:ascii="Times New Roman" w:hAnsi="Times New Roman" w:cs="Times New Roman"/>
          <w:sz w:val="24"/>
          <w:szCs w:val="24"/>
        </w:rPr>
        <w:t>C</w:t>
      </w:r>
      <w:r w:rsidR="003B4870" w:rsidRPr="00AF6C85">
        <w:rPr>
          <w:rFonts w:ascii="Times New Roman" w:hAnsi="Times New Roman" w:cs="Times New Roman"/>
          <w:sz w:val="24"/>
          <w:szCs w:val="24"/>
        </w:rPr>
        <w:t>lassical and medieval culture provid</w:t>
      </w:r>
      <w:r w:rsidR="003B4870">
        <w:rPr>
          <w:rFonts w:ascii="Times New Roman" w:hAnsi="Times New Roman" w:cs="Times New Roman"/>
          <w:sz w:val="24"/>
          <w:szCs w:val="24"/>
        </w:rPr>
        <w:t xml:space="preserve">e models for modern taxonomizing concepts such as race and gender </w:t>
      </w:r>
      <w:r w:rsidR="003B4870" w:rsidRPr="00AF6C85">
        <w:rPr>
          <w:rFonts w:ascii="Times New Roman" w:hAnsi="Times New Roman" w:cs="Times New Roman"/>
          <w:sz w:val="24"/>
          <w:szCs w:val="24"/>
        </w:rPr>
        <w:t>to take up, adapt, and enact through social institutions, including but not only in imperial and colonial contexts.</w:t>
      </w:r>
      <w:r w:rsidR="003B4870" w:rsidRPr="00AF6C85">
        <w:rPr>
          <w:rStyle w:val="EndnoteReference"/>
          <w:rFonts w:ascii="Times New Roman" w:hAnsi="Times New Roman" w:cs="Times New Roman"/>
          <w:sz w:val="24"/>
          <w:szCs w:val="24"/>
        </w:rPr>
        <w:endnoteReference w:id="11"/>
      </w:r>
      <w:r w:rsidR="003B4870">
        <w:rPr>
          <w:rFonts w:ascii="Times New Roman" w:hAnsi="Times New Roman" w:cs="Times New Roman"/>
          <w:sz w:val="24"/>
          <w:szCs w:val="24"/>
        </w:rPr>
        <w:t xml:space="preserve"> </w:t>
      </w:r>
      <w:r w:rsidR="00DE1A32">
        <w:rPr>
          <w:rFonts w:ascii="Times New Roman" w:hAnsi="Times New Roman" w:cs="Times New Roman"/>
          <w:sz w:val="24"/>
          <w:szCs w:val="24"/>
        </w:rPr>
        <w:t xml:space="preserve">As part of the Western cultural archive, medieval pasts </w:t>
      </w:r>
      <w:r w:rsidR="0073223A" w:rsidRPr="00AF6C85">
        <w:rPr>
          <w:rFonts w:ascii="Times New Roman" w:hAnsi="Times New Roman" w:cs="Times New Roman"/>
          <w:sz w:val="24"/>
          <w:szCs w:val="24"/>
        </w:rPr>
        <w:t xml:space="preserve">have, are and will </w:t>
      </w:r>
      <w:r w:rsidR="004514A2" w:rsidRPr="00AF6C85">
        <w:rPr>
          <w:rFonts w:ascii="Times New Roman" w:hAnsi="Times New Roman" w:cs="Times New Roman"/>
          <w:sz w:val="24"/>
          <w:szCs w:val="24"/>
        </w:rPr>
        <w:t xml:space="preserve">impact Indigenous peoples by generating, </w:t>
      </w:r>
      <w:r w:rsidR="004514A2" w:rsidRPr="00AF6C85">
        <w:rPr>
          <w:rFonts w:ascii="Times New Roman" w:hAnsi="Times New Roman" w:cs="Times New Roman"/>
          <w:sz w:val="24"/>
          <w:szCs w:val="24"/>
        </w:rPr>
        <w:lastRenderedPageBreak/>
        <w:t xml:space="preserve">justifying and perpetuating “white possessive logics” that reaffirm </w:t>
      </w:r>
      <w:r w:rsidR="00DE1A32">
        <w:rPr>
          <w:rFonts w:ascii="Times New Roman" w:hAnsi="Times New Roman" w:cs="Times New Roman"/>
          <w:sz w:val="24"/>
          <w:szCs w:val="24"/>
        </w:rPr>
        <w:t xml:space="preserve">settler colonial </w:t>
      </w:r>
      <w:r w:rsidR="004514A2" w:rsidRPr="00AF6C85">
        <w:rPr>
          <w:rFonts w:ascii="Times New Roman" w:hAnsi="Times New Roman" w:cs="Times New Roman"/>
          <w:sz w:val="24"/>
          <w:szCs w:val="24"/>
        </w:rPr>
        <w:t>ownership, control, and domination</w:t>
      </w:r>
      <w:r w:rsidR="00DE1A32">
        <w:rPr>
          <w:rFonts w:ascii="Times New Roman" w:hAnsi="Times New Roman" w:cs="Times New Roman"/>
          <w:sz w:val="24"/>
          <w:szCs w:val="24"/>
        </w:rPr>
        <w:t>.</w:t>
      </w:r>
      <w:r w:rsidR="004514A2" w:rsidRPr="00AF6C85">
        <w:rPr>
          <w:rFonts w:ascii="Times New Roman" w:hAnsi="Times New Roman" w:cs="Times New Roman"/>
          <w:sz w:val="24"/>
          <w:szCs w:val="24"/>
        </w:rPr>
        <w:t>”</w:t>
      </w:r>
      <w:r w:rsidR="004514A2" w:rsidRPr="00AF6C85">
        <w:rPr>
          <w:rStyle w:val="EndnoteReference"/>
          <w:rFonts w:ascii="Times New Roman" w:hAnsi="Times New Roman" w:cs="Times New Roman"/>
          <w:sz w:val="24"/>
          <w:szCs w:val="24"/>
        </w:rPr>
        <w:endnoteReference w:id="12"/>
      </w:r>
      <w:r w:rsidR="004514A2" w:rsidRPr="00AF6C85">
        <w:rPr>
          <w:rFonts w:ascii="Times New Roman" w:hAnsi="Times New Roman" w:cs="Times New Roman"/>
          <w:sz w:val="24"/>
          <w:szCs w:val="24"/>
        </w:rPr>
        <w:t xml:space="preserve"> </w:t>
      </w:r>
    </w:p>
    <w:p w14:paraId="3CAF71DF" w14:textId="67DE36D3" w:rsidR="00E421B0" w:rsidRPr="00AF6C85" w:rsidRDefault="00E421B0" w:rsidP="002C6566">
      <w:pPr>
        <w:spacing w:line="480" w:lineRule="auto"/>
        <w:rPr>
          <w:rFonts w:ascii="Times New Roman" w:hAnsi="Times New Roman" w:cs="Times New Roman"/>
          <w:sz w:val="24"/>
          <w:szCs w:val="24"/>
        </w:rPr>
      </w:pPr>
    </w:p>
    <w:p w14:paraId="0659A420" w14:textId="54370532" w:rsidR="004E76F7" w:rsidRPr="00737FED" w:rsidRDefault="00892F20" w:rsidP="004E76F7">
      <w:pPr>
        <w:spacing w:before="240" w:line="480" w:lineRule="auto"/>
        <w:rPr>
          <w:rFonts w:ascii="Times New Roman" w:hAnsi="Times New Roman" w:cs="Times New Roman"/>
          <w:i/>
          <w:sz w:val="24"/>
          <w:szCs w:val="24"/>
        </w:rPr>
      </w:pPr>
      <w:r>
        <w:rPr>
          <w:rFonts w:ascii="Times New Roman" w:hAnsi="Times New Roman" w:cs="Times New Roman"/>
          <w:sz w:val="24"/>
          <w:szCs w:val="24"/>
        </w:rPr>
        <w:t xml:space="preserve">The essay focuses on medievalism </w:t>
      </w:r>
      <w:r w:rsidR="00806C44">
        <w:rPr>
          <w:rFonts w:ascii="Times New Roman" w:hAnsi="Times New Roman" w:cs="Times New Roman"/>
          <w:sz w:val="24"/>
          <w:szCs w:val="24"/>
        </w:rPr>
        <w:t>and</w:t>
      </w:r>
      <w:r w:rsidR="00ED11B4">
        <w:rPr>
          <w:rFonts w:ascii="Times New Roman" w:hAnsi="Times New Roman" w:cs="Times New Roman"/>
          <w:sz w:val="24"/>
          <w:szCs w:val="24"/>
        </w:rPr>
        <w:t xml:space="preserve"> </w:t>
      </w:r>
      <w:r w:rsidR="0026297C" w:rsidRPr="00AF6C85">
        <w:rPr>
          <w:rFonts w:ascii="Times New Roman" w:hAnsi="Times New Roman" w:cs="Times New Roman"/>
          <w:i/>
          <w:sz w:val="24"/>
          <w:szCs w:val="24"/>
        </w:rPr>
        <w:t>Mabo and Others vs Queensland (2)</w:t>
      </w:r>
      <w:r w:rsidR="004E76F7">
        <w:rPr>
          <w:rFonts w:ascii="Times New Roman" w:hAnsi="Times New Roman" w:cs="Times New Roman"/>
          <w:sz w:val="24"/>
          <w:szCs w:val="24"/>
        </w:rPr>
        <w:t xml:space="preserve"> (1992) (</w:t>
      </w:r>
      <w:r w:rsidR="004E76F7">
        <w:rPr>
          <w:rFonts w:ascii="Times New Roman" w:hAnsi="Times New Roman" w:cs="Times New Roman"/>
          <w:i/>
          <w:sz w:val="24"/>
          <w:szCs w:val="24"/>
        </w:rPr>
        <w:t>Mabo</w:t>
      </w:r>
      <w:r w:rsidR="004E76F7">
        <w:rPr>
          <w:rFonts w:ascii="Times New Roman" w:hAnsi="Times New Roman" w:cs="Times New Roman"/>
          <w:sz w:val="24"/>
          <w:szCs w:val="24"/>
        </w:rPr>
        <w:t>);</w:t>
      </w:r>
      <w:r w:rsidR="0026297C" w:rsidRPr="00AF6C85">
        <w:rPr>
          <w:rStyle w:val="EndnoteReference"/>
          <w:rFonts w:ascii="Times New Roman" w:hAnsi="Times New Roman" w:cs="Times New Roman"/>
          <w:sz w:val="24"/>
          <w:szCs w:val="24"/>
        </w:rPr>
        <w:endnoteReference w:id="13"/>
      </w:r>
      <w:r w:rsidR="004E76F7">
        <w:rPr>
          <w:rFonts w:ascii="Times New Roman" w:hAnsi="Times New Roman" w:cs="Times New Roman"/>
          <w:sz w:val="24"/>
          <w:szCs w:val="24"/>
        </w:rPr>
        <w:t xml:space="preserve"> t</w:t>
      </w:r>
      <w:r w:rsidR="00ED11B4">
        <w:rPr>
          <w:rFonts w:ascii="Times New Roman" w:hAnsi="Times New Roman" w:cs="Times New Roman"/>
          <w:sz w:val="24"/>
          <w:szCs w:val="24"/>
        </w:rPr>
        <w:t>hat case</w:t>
      </w:r>
      <w:r w:rsidR="00200B7D">
        <w:rPr>
          <w:rFonts w:ascii="Times New Roman" w:hAnsi="Times New Roman" w:cs="Times New Roman"/>
          <w:sz w:val="24"/>
          <w:szCs w:val="24"/>
        </w:rPr>
        <w:t>, heard in the High Court of Australia,</w:t>
      </w:r>
      <w:r w:rsidR="004E76F7" w:rsidRPr="004E76F7">
        <w:rPr>
          <w:rFonts w:ascii="Times New Roman" w:hAnsi="Times New Roman" w:cs="Times New Roman"/>
          <w:sz w:val="24"/>
          <w:szCs w:val="24"/>
        </w:rPr>
        <w:t xml:space="preserve"> </w:t>
      </w:r>
      <w:r w:rsidR="004E76F7">
        <w:rPr>
          <w:rFonts w:ascii="Times New Roman" w:hAnsi="Times New Roman" w:cs="Times New Roman"/>
          <w:sz w:val="24"/>
          <w:szCs w:val="24"/>
        </w:rPr>
        <w:t>was the culmination of a decade-long court battle by the Meriam people, led by Eddie Koiki Mabo, to have their ownership of land on Mer island in Torres Strait legally recognised. It</w:t>
      </w:r>
      <w:r w:rsidR="0026297C">
        <w:rPr>
          <w:rFonts w:ascii="Times New Roman" w:hAnsi="Times New Roman" w:cs="Times New Roman"/>
          <w:sz w:val="24"/>
          <w:szCs w:val="24"/>
        </w:rPr>
        <w:t xml:space="preserve"> </w:t>
      </w:r>
      <w:r>
        <w:rPr>
          <w:rFonts w:ascii="Times New Roman" w:hAnsi="Times New Roman" w:cs="Times New Roman"/>
          <w:sz w:val="24"/>
          <w:szCs w:val="24"/>
        </w:rPr>
        <w:t>saw the first recognition of native title</w:t>
      </w:r>
      <w:r w:rsidR="004E76F7">
        <w:rPr>
          <w:rFonts w:ascii="Times New Roman" w:hAnsi="Times New Roman" w:cs="Times New Roman"/>
          <w:sz w:val="24"/>
          <w:szCs w:val="24"/>
        </w:rPr>
        <w:t xml:space="preserve"> by the Australian legal system and overturned the legal doctrine of </w:t>
      </w:r>
      <w:r w:rsidR="004E76F7">
        <w:rPr>
          <w:rFonts w:ascii="Times New Roman" w:hAnsi="Times New Roman" w:cs="Times New Roman"/>
          <w:i/>
          <w:sz w:val="24"/>
          <w:szCs w:val="24"/>
        </w:rPr>
        <w:t xml:space="preserve">terra nullius </w:t>
      </w:r>
      <w:r w:rsidR="004E76F7">
        <w:rPr>
          <w:rFonts w:ascii="Times New Roman" w:hAnsi="Times New Roman" w:cs="Times New Roman"/>
          <w:sz w:val="24"/>
          <w:szCs w:val="24"/>
        </w:rPr>
        <w:t xml:space="preserve">– no one’s land – which was historically used to justify British possession-taking of the land that is now the settler colonial nation Australia. </w:t>
      </w:r>
      <w:r w:rsidR="00200B7D">
        <w:rPr>
          <w:rFonts w:ascii="Times New Roman" w:hAnsi="Times New Roman" w:cs="Times New Roman"/>
          <w:sz w:val="24"/>
          <w:szCs w:val="24"/>
        </w:rPr>
        <w:t xml:space="preserve">The </w:t>
      </w:r>
      <w:r w:rsidR="00200B7D">
        <w:rPr>
          <w:rFonts w:ascii="Times New Roman" w:hAnsi="Times New Roman" w:cs="Times New Roman"/>
          <w:i/>
          <w:sz w:val="24"/>
          <w:szCs w:val="24"/>
        </w:rPr>
        <w:t xml:space="preserve">Mabo </w:t>
      </w:r>
      <w:r w:rsidR="00200B7D">
        <w:rPr>
          <w:rFonts w:ascii="Times New Roman" w:hAnsi="Times New Roman" w:cs="Times New Roman"/>
          <w:sz w:val="24"/>
          <w:szCs w:val="24"/>
        </w:rPr>
        <w:t xml:space="preserve">ruling, however, </w:t>
      </w:r>
      <w:r w:rsidR="00E22DE3">
        <w:rPr>
          <w:rFonts w:ascii="Times New Roman" w:hAnsi="Times New Roman" w:cs="Times New Roman"/>
          <w:sz w:val="24"/>
          <w:szCs w:val="24"/>
        </w:rPr>
        <w:t>reinscribed</w:t>
      </w:r>
      <w:r w:rsidR="00200B7D">
        <w:rPr>
          <w:rFonts w:ascii="Times New Roman" w:hAnsi="Times New Roman" w:cs="Times New Roman"/>
          <w:sz w:val="24"/>
          <w:szCs w:val="24"/>
        </w:rPr>
        <w:t xml:space="preserve"> </w:t>
      </w:r>
      <w:r w:rsidR="00E22DE3">
        <w:rPr>
          <w:rFonts w:ascii="Times New Roman" w:hAnsi="Times New Roman" w:cs="Times New Roman"/>
          <w:sz w:val="24"/>
          <w:szCs w:val="24"/>
        </w:rPr>
        <w:t>settler colonial</w:t>
      </w:r>
      <w:r w:rsidR="00200B7D">
        <w:rPr>
          <w:rFonts w:ascii="Times New Roman" w:hAnsi="Times New Roman" w:cs="Times New Roman"/>
          <w:sz w:val="24"/>
          <w:szCs w:val="24"/>
        </w:rPr>
        <w:t xml:space="preserve"> sovereignty even as it acknowledged that </w:t>
      </w:r>
      <w:r w:rsidR="00E22DE3">
        <w:rPr>
          <w:rFonts w:ascii="Times New Roman" w:hAnsi="Times New Roman" w:cs="Times New Roman"/>
          <w:sz w:val="24"/>
          <w:szCs w:val="24"/>
        </w:rPr>
        <w:t xml:space="preserve">a key </w:t>
      </w:r>
      <w:r w:rsidR="00200B7D">
        <w:rPr>
          <w:rFonts w:ascii="Times New Roman" w:hAnsi="Times New Roman" w:cs="Times New Roman"/>
          <w:sz w:val="24"/>
          <w:szCs w:val="24"/>
        </w:rPr>
        <w:t xml:space="preserve">legal principle used to justify it </w:t>
      </w:r>
      <w:r w:rsidR="00E22DE3">
        <w:rPr>
          <w:rFonts w:ascii="Times New Roman" w:hAnsi="Times New Roman" w:cs="Times New Roman"/>
          <w:sz w:val="24"/>
          <w:szCs w:val="24"/>
        </w:rPr>
        <w:t>is</w:t>
      </w:r>
      <w:r w:rsidR="00200B7D">
        <w:rPr>
          <w:rFonts w:ascii="Times New Roman" w:hAnsi="Times New Roman" w:cs="Times New Roman"/>
          <w:sz w:val="24"/>
          <w:szCs w:val="24"/>
        </w:rPr>
        <w:t xml:space="preserve"> a fiction. The article is concerned with the temporalities constructed through the cultural archive and its use</w:t>
      </w:r>
      <w:r w:rsidR="00E22DE3">
        <w:rPr>
          <w:rFonts w:ascii="Times New Roman" w:hAnsi="Times New Roman" w:cs="Times New Roman"/>
          <w:sz w:val="24"/>
          <w:szCs w:val="24"/>
        </w:rPr>
        <w:t xml:space="preserve"> in and around </w:t>
      </w:r>
      <w:r w:rsidR="00E22DE3">
        <w:rPr>
          <w:rFonts w:ascii="Times New Roman" w:hAnsi="Times New Roman" w:cs="Times New Roman"/>
          <w:i/>
          <w:sz w:val="24"/>
          <w:szCs w:val="24"/>
        </w:rPr>
        <w:t>Mabo</w:t>
      </w:r>
      <w:r w:rsidR="00200B7D">
        <w:rPr>
          <w:rFonts w:ascii="Times New Roman" w:hAnsi="Times New Roman" w:cs="Times New Roman"/>
          <w:sz w:val="24"/>
          <w:szCs w:val="24"/>
        </w:rPr>
        <w:t xml:space="preserve">, not with jurisprudence and the law for its own sake. </w:t>
      </w:r>
      <w:r w:rsidR="00B124EB">
        <w:rPr>
          <w:rFonts w:ascii="Times New Roman" w:hAnsi="Times New Roman" w:cs="Times New Roman"/>
          <w:sz w:val="24"/>
          <w:szCs w:val="24"/>
        </w:rPr>
        <w:t xml:space="preserve">Following a brief outline </w:t>
      </w:r>
      <w:r w:rsidR="004E76F7">
        <w:rPr>
          <w:rFonts w:ascii="Times New Roman" w:hAnsi="Times New Roman" w:cs="Times New Roman"/>
          <w:sz w:val="24"/>
          <w:szCs w:val="24"/>
        </w:rPr>
        <w:t xml:space="preserve">of the history of British claiming of sovereignty in Australia, </w:t>
      </w:r>
      <w:r w:rsidR="000107FA">
        <w:rPr>
          <w:rFonts w:ascii="Times New Roman" w:hAnsi="Times New Roman" w:cs="Times New Roman"/>
          <w:sz w:val="24"/>
          <w:szCs w:val="24"/>
        </w:rPr>
        <w:t>it</w:t>
      </w:r>
      <w:r w:rsidR="004E76F7">
        <w:rPr>
          <w:rFonts w:ascii="Times New Roman" w:hAnsi="Times New Roman" w:cs="Times New Roman"/>
          <w:sz w:val="24"/>
          <w:szCs w:val="24"/>
        </w:rPr>
        <w:t xml:space="preserve"> explores </w:t>
      </w:r>
      <w:r w:rsidR="000E4315" w:rsidRPr="00B124EB">
        <w:rPr>
          <w:rFonts w:ascii="Times New Roman" w:hAnsi="Times New Roman" w:cs="Times New Roman"/>
          <w:sz w:val="24"/>
          <w:szCs w:val="24"/>
        </w:rPr>
        <w:t>how the medieval colonial history of Britain provide a cultural archive that shaped application of English common law in the service of white patriarchal colonialism</w:t>
      </w:r>
      <w:r w:rsidR="00B124EB">
        <w:rPr>
          <w:rFonts w:ascii="Times New Roman" w:hAnsi="Times New Roman" w:cs="Times New Roman"/>
          <w:sz w:val="24"/>
          <w:szCs w:val="24"/>
        </w:rPr>
        <w:t>. It then</w:t>
      </w:r>
      <w:r w:rsidR="00200B7D">
        <w:rPr>
          <w:rFonts w:ascii="Times New Roman" w:hAnsi="Times New Roman" w:cs="Times New Roman"/>
          <w:sz w:val="24"/>
          <w:szCs w:val="24"/>
        </w:rPr>
        <w:t xml:space="preserve"> </w:t>
      </w:r>
      <w:r w:rsidR="000107FA">
        <w:rPr>
          <w:rFonts w:ascii="Times New Roman" w:hAnsi="Times New Roman" w:cs="Times New Roman"/>
          <w:sz w:val="24"/>
          <w:szCs w:val="24"/>
        </w:rPr>
        <w:t>examines</w:t>
      </w:r>
      <w:r w:rsidR="00B124EB">
        <w:rPr>
          <w:rFonts w:ascii="Times New Roman" w:hAnsi="Times New Roman" w:cs="Times New Roman"/>
          <w:sz w:val="24"/>
          <w:szCs w:val="24"/>
        </w:rPr>
        <w:t xml:space="preserve"> </w:t>
      </w:r>
      <w:r w:rsidR="00200B7D">
        <w:rPr>
          <w:rFonts w:ascii="Times New Roman" w:hAnsi="Times New Roman" w:cs="Times New Roman"/>
          <w:sz w:val="24"/>
          <w:szCs w:val="24"/>
        </w:rPr>
        <w:t>medievalist temporalities</w:t>
      </w:r>
      <w:r w:rsidR="004E76F7">
        <w:rPr>
          <w:rFonts w:ascii="Times New Roman" w:hAnsi="Times New Roman" w:cs="Times New Roman"/>
          <w:sz w:val="24"/>
          <w:szCs w:val="24"/>
        </w:rPr>
        <w:t xml:space="preserve"> in</w:t>
      </w:r>
      <w:r w:rsidR="0026297C">
        <w:rPr>
          <w:rFonts w:ascii="Times New Roman" w:hAnsi="Times New Roman" w:cs="Times New Roman"/>
          <w:sz w:val="24"/>
          <w:szCs w:val="24"/>
        </w:rPr>
        <w:t xml:space="preserve"> judgements made in</w:t>
      </w:r>
      <w:r w:rsidR="00B124EB">
        <w:rPr>
          <w:rFonts w:ascii="Times New Roman" w:hAnsi="Times New Roman" w:cs="Times New Roman"/>
          <w:sz w:val="24"/>
          <w:szCs w:val="24"/>
        </w:rPr>
        <w:t xml:space="preserve"> </w:t>
      </w:r>
      <w:r w:rsidR="00B124EB">
        <w:rPr>
          <w:rFonts w:ascii="Times New Roman" w:hAnsi="Times New Roman" w:cs="Times New Roman"/>
          <w:i/>
          <w:sz w:val="24"/>
          <w:szCs w:val="24"/>
        </w:rPr>
        <w:t>Mabo</w:t>
      </w:r>
      <w:r w:rsidR="0026297C">
        <w:rPr>
          <w:rFonts w:ascii="Times New Roman" w:hAnsi="Times New Roman" w:cs="Times New Roman"/>
          <w:sz w:val="24"/>
          <w:szCs w:val="24"/>
        </w:rPr>
        <w:t xml:space="preserve"> by Justices of the High Court of Australia</w:t>
      </w:r>
      <w:r w:rsidR="004E76F7">
        <w:rPr>
          <w:rFonts w:ascii="Times New Roman" w:hAnsi="Times New Roman" w:cs="Times New Roman"/>
          <w:sz w:val="24"/>
          <w:szCs w:val="24"/>
        </w:rPr>
        <w:t xml:space="preserve"> before </w:t>
      </w:r>
      <w:r w:rsidR="00200B7D">
        <w:rPr>
          <w:rFonts w:ascii="Times New Roman" w:hAnsi="Times New Roman" w:cs="Times New Roman"/>
          <w:sz w:val="24"/>
          <w:szCs w:val="24"/>
        </w:rPr>
        <w:t>returning to the question of</w:t>
      </w:r>
      <w:r w:rsidR="00E421B0" w:rsidRPr="004E76F7">
        <w:rPr>
          <w:rFonts w:ascii="Times New Roman" w:hAnsi="Times New Roman" w:cs="Times New Roman"/>
          <w:sz w:val="24"/>
          <w:szCs w:val="24"/>
        </w:rPr>
        <w:t xml:space="preserve"> what medieval studies and medievalism have to offer Indigenous studies</w:t>
      </w:r>
      <w:r w:rsidR="00200B7D">
        <w:rPr>
          <w:rFonts w:ascii="Times New Roman" w:hAnsi="Times New Roman" w:cs="Times New Roman"/>
          <w:sz w:val="24"/>
          <w:szCs w:val="24"/>
        </w:rPr>
        <w:t xml:space="preserve">. </w:t>
      </w:r>
    </w:p>
    <w:p w14:paraId="3C8ACAE6" w14:textId="765718A7" w:rsidR="004514A2" w:rsidRPr="00AF6C85" w:rsidRDefault="00892F20" w:rsidP="004E76F7">
      <w:pPr>
        <w:spacing w:before="240"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70EA091" w14:textId="3609E97D" w:rsidR="00DD36E7" w:rsidRDefault="00F840D1" w:rsidP="002C6566">
      <w:pPr>
        <w:spacing w:line="480" w:lineRule="auto"/>
        <w:rPr>
          <w:rFonts w:ascii="Times New Roman" w:hAnsi="Times New Roman" w:cs="Times New Roman"/>
          <w:sz w:val="24"/>
          <w:szCs w:val="24"/>
        </w:rPr>
      </w:pPr>
      <w:r>
        <w:rPr>
          <w:rFonts w:ascii="Times New Roman" w:hAnsi="Times New Roman" w:cs="Times New Roman"/>
          <w:sz w:val="24"/>
          <w:szCs w:val="24"/>
        </w:rPr>
        <w:t xml:space="preserve">When Lieutenant James Cook, captain of </w:t>
      </w:r>
      <w:r w:rsidRPr="00F840D1">
        <w:rPr>
          <w:rFonts w:ascii="Times New Roman" w:hAnsi="Times New Roman" w:cs="Times New Roman"/>
          <w:i/>
          <w:sz w:val="24"/>
          <w:szCs w:val="24"/>
        </w:rPr>
        <w:t>HMS Endeavour</w:t>
      </w:r>
      <w:r>
        <w:rPr>
          <w:rFonts w:ascii="Times New Roman" w:hAnsi="Times New Roman" w:cs="Times New Roman"/>
          <w:sz w:val="24"/>
          <w:szCs w:val="24"/>
        </w:rPr>
        <w:t>, sailed from Britain for the Pacific in 1768</w:t>
      </w:r>
      <w:r w:rsidR="000107FA">
        <w:rPr>
          <w:rFonts w:ascii="Times New Roman" w:hAnsi="Times New Roman" w:cs="Times New Roman"/>
          <w:sz w:val="24"/>
          <w:szCs w:val="24"/>
        </w:rPr>
        <w:t xml:space="preserve"> to observe the passage of Venus</w:t>
      </w:r>
      <w:r>
        <w:rPr>
          <w:rFonts w:ascii="Times New Roman" w:hAnsi="Times New Roman" w:cs="Times New Roman"/>
          <w:sz w:val="24"/>
          <w:szCs w:val="24"/>
        </w:rPr>
        <w:t xml:space="preserve"> he was </w:t>
      </w:r>
      <w:r w:rsidR="000107FA">
        <w:rPr>
          <w:rFonts w:ascii="Times New Roman" w:hAnsi="Times New Roman" w:cs="Times New Roman"/>
          <w:sz w:val="24"/>
          <w:szCs w:val="24"/>
        </w:rPr>
        <w:t>given secret instructions</w:t>
      </w:r>
      <w:r>
        <w:rPr>
          <w:rFonts w:ascii="Times New Roman" w:hAnsi="Times New Roman" w:cs="Times New Roman"/>
          <w:sz w:val="24"/>
          <w:szCs w:val="24"/>
        </w:rPr>
        <w:t xml:space="preserve"> to “take possession” of lands </w:t>
      </w:r>
      <w:r w:rsidR="000107FA">
        <w:rPr>
          <w:rFonts w:ascii="Times New Roman" w:hAnsi="Times New Roman" w:cs="Times New Roman"/>
          <w:sz w:val="24"/>
          <w:szCs w:val="24"/>
        </w:rPr>
        <w:t xml:space="preserve">previously unknown to Europeans </w:t>
      </w:r>
      <w:r>
        <w:rPr>
          <w:rFonts w:ascii="Times New Roman" w:hAnsi="Times New Roman" w:cs="Times New Roman"/>
          <w:sz w:val="24"/>
          <w:szCs w:val="24"/>
        </w:rPr>
        <w:t>he encountered with the “Consent of the Natives”</w:t>
      </w:r>
      <w:r w:rsidR="00903651">
        <w:rPr>
          <w:rFonts w:ascii="Times New Roman" w:hAnsi="Times New Roman" w:cs="Times New Roman"/>
          <w:sz w:val="24"/>
          <w:szCs w:val="24"/>
        </w:rPr>
        <w:t xml:space="preserve"> </w:t>
      </w:r>
      <w:r>
        <w:rPr>
          <w:rFonts w:ascii="Times New Roman" w:hAnsi="Times New Roman" w:cs="Times New Roman"/>
          <w:sz w:val="24"/>
          <w:szCs w:val="24"/>
        </w:rPr>
        <w:t xml:space="preserve"> or “if you find the Country uninhabited.”</w:t>
      </w:r>
      <w:r w:rsidR="0033618A">
        <w:rPr>
          <w:rStyle w:val="EndnoteReference"/>
          <w:rFonts w:ascii="Times New Roman" w:hAnsi="Times New Roman" w:cs="Times New Roman"/>
          <w:sz w:val="24"/>
          <w:szCs w:val="24"/>
        </w:rPr>
        <w:endnoteReference w:id="14"/>
      </w:r>
      <w:r>
        <w:rPr>
          <w:rFonts w:ascii="Times New Roman" w:hAnsi="Times New Roman" w:cs="Times New Roman"/>
          <w:sz w:val="24"/>
          <w:szCs w:val="24"/>
        </w:rPr>
        <w:t xml:space="preserve"> </w:t>
      </w:r>
      <w:r w:rsidR="000147C6">
        <w:rPr>
          <w:rFonts w:ascii="Times New Roman" w:hAnsi="Times New Roman" w:cs="Times New Roman"/>
          <w:sz w:val="24"/>
          <w:szCs w:val="24"/>
        </w:rPr>
        <w:t xml:space="preserve">The latter gestures to the principle of </w:t>
      </w:r>
      <w:r w:rsidR="000147C6">
        <w:rPr>
          <w:rFonts w:ascii="Times New Roman" w:hAnsi="Times New Roman" w:cs="Times New Roman"/>
          <w:i/>
          <w:sz w:val="24"/>
          <w:szCs w:val="24"/>
        </w:rPr>
        <w:t>terra nullius</w:t>
      </w:r>
      <w:r w:rsidR="000147C6">
        <w:rPr>
          <w:rFonts w:ascii="Times New Roman" w:hAnsi="Times New Roman" w:cs="Times New Roman"/>
          <w:sz w:val="24"/>
          <w:szCs w:val="24"/>
        </w:rPr>
        <w:t xml:space="preserve">, </w:t>
      </w:r>
      <w:r w:rsidR="000147C6">
        <w:rPr>
          <w:rFonts w:ascii="Times New Roman" w:hAnsi="Times New Roman" w:cs="Times New Roman"/>
          <w:sz w:val="24"/>
          <w:szCs w:val="24"/>
        </w:rPr>
        <w:lastRenderedPageBreak/>
        <w:t>that is, that ‘no-one’s land’ could be legitimately claimed by the first person to discover and wish to possess it.</w:t>
      </w:r>
      <w:r w:rsidR="000147C6">
        <w:rPr>
          <w:rFonts w:ascii="Times New Roman" w:hAnsi="Times New Roman" w:cs="Times New Roman"/>
          <w:i/>
          <w:sz w:val="24"/>
          <w:szCs w:val="24"/>
        </w:rPr>
        <w:t xml:space="preserve"> </w:t>
      </w:r>
      <w:r w:rsidRPr="000147C6">
        <w:rPr>
          <w:rFonts w:ascii="Times New Roman" w:hAnsi="Times New Roman" w:cs="Times New Roman"/>
          <w:sz w:val="24"/>
          <w:szCs w:val="24"/>
        </w:rPr>
        <w:t>Cook</w:t>
      </w:r>
      <w:r>
        <w:rPr>
          <w:rFonts w:ascii="Times New Roman" w:hAnsi="Times New Roman" w:cs="Times New Roman"/>
          <w:sz w:val="24"/>
          <w:szCs w:val="24"/>
        </w:rPr>
        <w:t xml:space="preserve"> </w:t>
      </w:r>
      <w:r w:rsidR="0033618A">
        <w:rPr>
          <w:rFonts w:ascii="Times New Roman" w:hAnsi="Times New Roman" w:cs="Times New Roman"/>
          <w:sz w:val="24"/>
          <w:szCs w:val="24"/>
        </w:rPr>
        <w:t>and his men encountered Indigenous Australians, at times violently, but he did not consider them inhabitants in a meaningful sense and wrote in his journal that they were nomadic and “know nothing of Cultivation.”</w:t>
      </w:r>
      <w:r w:rsidR="0033618A">
        <w:rPr>
          <w:rStyle w:val="EndnoteReference"/>
          <w:rFonts w:ascii="Times New Roman" w:hAnsi="Times New Roman" w:cs="Times New Roman"/>
          <w:sz w:val="24"/>
          <w:szCs w:val="24"/>
        </w:rPr>
        <w:endnoteReference w:id="15"/>
      </w:r>
      <w:r w:rsidR="0033618A">
        <w:rPr>
          <w:rFonts w:ascii="Times New Roman" w:hAnsi="Times New Roman" w:cs="Times New Roman"/>
          <w:sz w:val="24"/>
          <w:szCs w:val="24"/>
        </w:rPr>
        <w:t xml:space="preserve"> Cook would write in his journal that he claimed possession of the east coast of Australia for the British Crown </w:t>
      </w:r>
      <w:r w:rsidR="000147C6">
        <w:rPr>
          <w:rFonts w:ascii="Times New Roman" w:hAnsi="Times New Roman" w:cs="Times New Roman"/>
          <w:sz w:val="24"/>
          <w:szCs w:val="24"/>
        </w:rPr>
        <w:t>on 22</w:t>
      </w:r>
      <w:r w:rsidR="000147C6" w:rsidRPr="000147C6">
        <w:rPr>
          <w:rFonts w:ascii="Times New Roman" w:hAnsi="Times New Roman" w:cs="Times New Roman"/>
          <w:sz w:val="24"/>
          <w:szCs w:val="24"/>
          <w:vertAlign w:val="superscript"/>
        </w:rPr>
        <w:t>nd</w:t>
      </w:r>
      <w:r w:rsidR="000147C6">
        <w:rPr>
          <w:rFonts w:ascii="Times New Roman" w:hAnsi="Times New Roman" w:cs="Times New Roman"/>
          <w:sz w:val="24"/>
          <w:szCs w:val="24"/>
        </w:rPr>
        <w:t xml:space="preserve"> August 1770. Whether that event took place as he described or was a later invention by him to thwart French territorial ambitions has been called into question,</w:t>
      </w:r>
      <w:r w:rsidR="000147C6">
        <w:rPr>
          <w:rStyle w:val="EndnoteReference"/>
          <w:rFonts w:ascii="Times New Roman" w:hAnsi="Times New Roman" w:cs="Times New Roman"/>
          <w:sz w:val="24"/>
          <w:szCs w:val="24"/>
        </w:rPr>
        <w:endnoteReference w:id="16"/>
      </w:r>
      <w:r w:rsidR="0033618A">
        <w:rPr>
          <w:rFonts w:ascii="Times New Roman" w:hAnsi="Times New Roman" w:cs="Times New Roman"/>
          <w:sz w:val="24"/>
          <w:szCs w:val="24"/>
        </w:rPr>
        <w:t xml:space="preserve"> </w:t>
      </w:r>
      <w:r w:rsidR="000147C6">
        <w:rPr>
          <w:rFonts w:ascii="Times New Roman" w:hAnsi="Times New Roman" w:cs="Times New Roman"/>
          <w:sz w:val="24"/>
          <w:szCs w:val="24"/>
        </w:rPr>
        <w:t xml:space="preserve">but in any case it was taken to be true and the British Empire acted as though it were a legitimate claim by violently invading from 1788. </w:t>
      </w:r>
      <w:r w:rsidR="000107FA">
        <w:rPr>
          <w:rFonts w:ascii="Times New Roman" w:hAnsi="Times New Roman" w:cs="Times New Roman"/>
          <w:sz w:val="24"/>
          <w:szCs w:val="24"/>
        </w:rPr>
        <w:t xml:space="preserve">The </w:t>
      </w:r>
      <w:r w:rsidR="00057852">
        <w:rPr>
          <w:rFonts w:ascii="Times New Roman" w:hAnsi="Times New Roman" w:cs="Times New Roman"/>
          <w:sz w:val="24"/>
          <w:szCs w:val="24"/>
        </w:rPr>
        <w:t xml:space="preserve">principle </w:t>
      </w:r>
      <w:r w:rsidR="000107FA">
        <w:rPr>
          <w:rFonts w:ascii="Times New Roman" w:hAnsi="Times New Roman" w:cs="Times New Roman"/>
          <w:sz w:val="24"/>
          <w:szCs w:val="24"/>
        </w:rPr>
        <w:t xml:space="preserve">of </w:t>
      </w:r>
      <w:r w:rsidR="000107FA">
        <w:rPr>
          <w:rFonts w:ascii="Times New Roman" w:hAnsi="Times New Roman" w:cs="Times New Roman"/>
          <w:i/>
          <w:sz w:val="24"/>
          <w:szCs w:val="24"/>
        </w:rPr>
        <w:t xml:space="preserve">terra nullius </w:t>
      </w:r>
      <w:r w:rsidR="00057852">
        <w:rPr>
          <w:rFonts w:ascii="Times New Roman" w:hAnsi="Times New Roman" w:cs="Times New Roman"/>
          <w:sz w:val="24"/>
          <w:szCs w:val="24"/>
        </w:rPr>
        <w:t xml:space="preserve">was built into colonial law </w:t>
      </w:r>
      <w:r w:rsidR="009F4BFC">
        <w:rPr>
          <w:rFonts w:ascii="Times New Roman" w:hAnsi="Times New Roman" w:cs="Times New Roman"/>
          <w:sz w:val="24"/>
          <w:szCs w:val="24"/>
        </w:rPr>
        <w:t xml:space="preserve">in New South Wales </w:t>
      </w:r>
      <w:r w:rsidR="00057852">
        <w:rPr>
          <w:rFonts w:ascii="Times New Roman" w:hAnsi="Times New Roman" w:cs="Times New Roman"/>
          <w:sz w:val="24"/>
          <w:szCs w:val="24"/>
        </w:rPr>
        <w:t>before national federation in 1901, and into Australian law in the twentieth century.</w:t>
      </w:r>
      <w:r w:rsidR="000107FA">
        <w:rPr>
          <w:rStyle w:val="EndnoteReference"/>
          <w:rFonts w:ascii="Times New Roman" w:hAnsi="Times New Roman" w:cs="Times New Roman"/>
          <w:sz w:val="24"/>
          <w:szCs w:val="24"/>
        </w:rPr>
        <w:endnoteReference w:id="17"/>
      </w:r>
      <w:r w:rsidR="00057852">
        <w:rPr>
          <w:rFonts w:ascii="Times New Roman" w:hAnsi="Times New Roman" w:cs="Times New Roman"/>
          <w:sz w:val="24"/>
          <w:szCs w:val="24"/>
        </w:rPr>
        <w:t xml:space="preserve"> </w:t>
      </w:r>
      <w:r w:rsidR="00DD36E7" w:rsidRPr="00AF6C85">
        <w:rPr>
          <w:rFonts w:ascii="Times New Roman" w:hAnsi="Times New Roman" w:cs="Times New Roman"/>
          <w:i/>
          <w:sz w:val="24"/>
          <w:szCs w:val="24"/>
        </w:rPr>
        <w:t>Mabo</w:t>
      </w:r>
      <w:r w:rsidR="00DD36E7">
        <w:rPr>
          <w:rFonts w:ascii="Times New Roman" w:hAnsi="Times New Roman" w:cs="Times New Roman"/>
          <w:sz w:val="24"/>
          <w:szCs w:val="24"/>
        </w:rPr>
        <w:t xml:space="preserve"> </w:t>
      </w:r>
      <w:r w:rsidR="00DD36E7" w:rsidRPr="00AF6C85">
        <w:rPr>
          <w:rFonts w:ascii="Times New Roman" w:hAnsi="Times New Roman" w:cs="Times New Roman"/>
          <w:sz w:val="24"/>
          <w:szCs w:val="24"/>
        </w:rPr>
        <w:t xml:space="preserve">overturned the doctrine of </w:t>
      </w:r>
      <w:r w:rsidR="00DD36E7" w:rsidRPr="00AF6C85">
        <w:rPr>
          <w:rFonts w:ascii="Times New Roman" w:hAnsi="Times New Roman" w:cs="Times New Roman"/>
          <w:i/>
          <w:sz w:val="24"/>
          <w:szCs w:val="24"/>
        </w:rPr>
        <w:t>terra nullius</w:t>
      </w:r>
      <w:r w:rsidR="000107FA">
        <w:rPr>
          <w:rFonts w:ascii="Times New Roman" w:hAnsi="Times New Roman" w:cs="Times New Roman"/>
          <w:i/>
          <w:sz w:val="24"/>
          <w:szCs w:val="24"/>
        </w:rPr>
        <w:t xml:space="preserve"> </w:t>
      </w:r>
      <w:r w:rsidR="000107FA">
        <w:rPr>
          <w:rFonts w:ascii="Times New Roman" w:hAnsi="Times New Roman" w:cs="Times New Roman"/>
          <w:sz w:val="24"/>
          <w:szCs w:val="24"/>
        </w:rPr>
        <w:t>but also recognised and reinscribed settler colonial Australian sovereignty</w:t>
      </w:r>
      <w:r w:rsidR="005D1904">
        <w:rPr>
          <w:rFonts w:ascii="Times New Roman" w:hAnsi="Times New Roman" w:cs="Times New Roman"/>
          <w:sz w:val="24"/>
          <w:szCs w:val="24"/>
        </w:rPr>
        <w:t>.</w:t>
      </w:r>
      <w:r w:rsidR="000107FA">
        <w:rPr>
          <w:rStyle w:val="EndnoteReference"/>
          <w:rFonts w:ascii="Times New Roman" w:hAnsi="Times New Roman" w:cs="Times New Roman"/>
          <w:sz w:val="24"/>
          <w:szCs w:val="24"/>
        </w:rPr>
        <w:endnoteReference w:id="18"/>
      </w:r>
      <w:r w:rsidR="005D1904">
        <w:rPr>
          <w:rFonts w:ascii="Times New Roman" w:hAnsi="Times New Roman" w:cs="Times New Roman"/>
          <w:sz w:val="24"/>
          <w:szCs w:val="24"/>
        </w:rPr>
        <w:t xml:space="preserve"> </w:t>
      </w:r>
      <w:r w:rsidR="00DD36E7">
        <w:rPr>
          <w:rFonts w:ascii="Times New Roman" w:hAnsi="Times New Roman" w:cs="Times New Roman"/>
          <w:sz w:val="24"/>
          <w:szCs w:val="24"/>
        </w:rPr>
        <w:t>As</w:t>
      </w:r>
      <w:r w:rsidR="00DD36E7" w:rsidRPr="00AF6C85">
        <w:rPr>
          <w:rFonts w:ascii="Times New Roman" w:hAnsi="Times New Roman" w:cs="Times New Roman"/>
          <w:sz w:val="24"/>
          <w:szCs w:val="24"/>
        </w:rPr>
        <w:t xml:space="preserve"> </w:t>
      </w:r>
      <w:r w:rsidR="00DD36E7">
        <w:rPr>
          <w:rFonts w:ascii="Times New Roman" w:hAnsi="Times New Roman" w:cs="Times New Roman"/>
          <w:sz w:val="24"/>
          <w:szCs w:val="24"/>
        </w:rPr>
        <w:t xml:space="preserve">Aileen </w:t>
      </w:r>
      <w:r w:rsidR="00DD36E7" w:rsidRPr="00AF6C85">
        <w:rPr>
          <w:rFonts w:ascii="Times New Roman" w:hAnsi="Times New Roman" w:cs="Times New Roman"/>
          <w:sz w:val="24"/>
          <w:szCs w:val="24"/>
        </w:rPr>
        <w:t xml:space="preserve">Moreton-Robinson argues </w:t>
      </w:r>
      <w:r w:rsidR="00E22DE3">
        <w:rPr>
          <w:rFonts w:ascii="Times New Roman" w:hAnsi="Times New Roman" w:cs="Times New Roman"/>
          <w:sz w:val="24"/>
          <w:szCs w:val="24"/>
        </w:rPr>
        <w:t>that the High Court’s ruling</w:t>
      </w:r>
      <w:r w:rsidR="005D1904">
        <w:rPr>
          <w:rFonts w:ascii="Times New Roman" w:hAnsi="Times New Roman" w:cs="Times New Roman"/>
          <w:sz w:val="24"/>
          <w:szCs w:val="24"/>
        </w:rPr>
        <w:t xml:space="preserve"> </w:t>
      </w:r>
      <w:r w:rsidR="00DD36E7" w:rsidRPr="00AF6C85">
        <w:rPr>
          <w:rFonts w:ascii="Times New Roman" w:hAnsi="Times New Roman" w:cs="Times New Roman"/>
          <w:sz w:val="24"/>
          <w:szCs w:val="24"/>
        </w:rPr>
        <w:t>was “based on politics and economics rather than the rule of law,”</w:t>
      </w:r>
      <w:r w:rsidR="00DD36E7" w:rsidRPr="00892F20">
        <w:rPr>
          <w:rStyle w:val="EndnoteReference"/>
          <w:rFonts w:ascii="Times New Roman" w:hAnsi="Times New Roman" w:cs="Times New Roman"/>
          <w:sz w:val="24"/>
          <w:szCs w:val="24"/>
        </w:rPr>
        <w:t xml:space="preserve"> </w:t>
      </w:r>
      <w:r w:rsidR="00DD36E7" w:rsidRPr="00AF6C85">
        <w:rPr>
          <w:rFonts w:ascii="Times New Roman" w:hAnsi="Times New Roman" w:cs="Times New Roman"/>
          <w:sz w:val="24"/>
          <w:szCs w:val="24"/>
        </w:rPr>
        <w:t>and created a precedent through which Indigenous la</w:t>
      </w:r>
      <w:r w:rsidR="00DD36E7">
        <w:rPr>
          <w:rFonts w:ascii="Times New Roman" w:hAnsi="Times New Roman" w:cs="Times New Roman"/>
          <w:sz w:val="24"/>
          <w:szCs w:val="24"/>
        </w:rPr>
        <w:t>nd rights could be extinguished with the result that:</w:t>
      </w:r>
      <w:r w:rsidR="00DD36E7" w:rsidRPr="00AF6C85">
        <w:rPr>
          <w:rFonts w:ascii="Times New Roman" w:hAnsi="Times New Roman" w:cs="Times New Roman"/>
          <w:sz w:val="24"/>
          <w:szCs w:val="24"/>
        </w:rPr>
        <w:t xml:space="preserve"> “in </w:t>
      </w:r>
      <w:r w:rsidR="00DD36E7" w:rsidRPr="00AF6C85">
        <w:rPr>
          <w:rFonts w:ascii="Times New Roman" w:hAnsi="Times New Roman" w:cs="Times New Roman"/>
          <w:i/>
          <w:sz w:val="24"/>
          <w:szCs w:val="24"/>
        </w:rPr>
        <w:t>Mabo</w:t>
      </w:r>
      <w:r w:rsidR="00DD36E7" w:rsidRPr="00AF6C85">
        <w:rPr>
          <w:rFonts w:ascii="Times New Roman" w:hAnsi="Times New Roman" w:cs="Times New Roman"/>
          <w:sz w:val="24"/>
          <w:szCs w:val="24"/>
        </w:rPr>
        <w:t>, the common law ensured the continuance of patriarchal whiteness as a system that protects the properties and privileges of white men” by significantly limiting the parameters through which Australian legal recognition of native title can be achieved.</w:t>
      </w:r>
      <w:r w:rsidR="00DD36E7" w:rsidRPr="00AF6C85">
        <w:rPr>
          <w:rStyle w:val="EndnoteReference"/>
          <w:rFonts w:ascii="Times New Roman" w:hAnsi="Times New Roman" w:cs="Times New Roman"/>
          <w:sz w:val="24"/>
          <w:szCs w:val="24"/>
        </w:rPr>
        <w:endnoteReference w:id="19"/>
      </w:r>
      <w:r w:rsidR="00DD36E7">
        <w:rPr>
          <w:rFonts w:ascii="Times New Roman" w:hAnsi="Times New Roman" w:cs="Times New Roman"/>
          <w:sz w:val="24"/>
          <w:szCs w:val="24"/>
        </w:rPr>
        <w:t xml:space="preserve"> </w:t>
      </w:r>
      <w:r w:rsidR="00DD36E7" w:rsidRPr="006E011F">
        <w:rPr>
          <w:rFonts w:ascii="Times New Roman" w:hAnsi="Times New Roman" w:cs="Times New Roman"/>
          <w:sz w:val="24"/>
          <w:szCs w:val="24"/>
        </w:rPr>
        <w:t>As I write this, the news announces that the Queensland government has extinguished Indigenous title of the Wangan and Jagalingou peoples over</w:t>
      </w:r>
      <w:r w:rsidR="00DD36E7">
        <w:rPr>
          <w:rFonts w:ascii="Times New Roman" w:hAnsi="Times New Roman" w:cs="Times New Roman"/>
          <w:sz w:val="24"/>
          <w:szCs w:val="24"/>
        </w:rPr>
        <w:t xml:space="preserve"> a large area of land to allow the</w:t>
      </w:r>
      <w:r w:rsidR="00DD36E7" w:rsidRPr="006E011F">
        <w:rPr>
          <w:rFonts w:ascii="Times New Roman" w:hAnsi="Times New Roman" w:cs="Times New Roman"/>
          <w:sz w:val="24"/>
          <w:szCs w:val="24"/>
        </w:rPr>
        <w:t xml:space="preserve"> major </w:t>
      </w:r>
      <w:r w:rsidR="00DD36E7">
        <w:rPr>
          <w:rFonts w:ascii="Times New Roman" w:hAnsi="Times New Roman" w:cs="Times New Roman"/>
          <w:sz w:val="24"/>
          <w:szCs w:val="24"/>
        </w:rPr>
        <w:t xml:space="preserve">new Adani </w:t>
      </w:r>
      <w:r w:rsidR="00DD36E7" w:rsidRPr="006E011F">
        <w:rPr>
          <w:rFonts w:ascii="Times New Roman" w:hAnsi="Times New Roman" w:cs="Times New Roman"/>
          <w:sz w:val="24"/>
          <w:szCs w:val="24"/>
        </w:rPr>
        <w:t>coal mine to go ahead.</w:t>
      </w:r>
      <w:r w:rsidR="00DD36E7">
        <w:rPr>
          <w:rStyle w:val="EndnoteReference"/>
          <w:rFonts w:ascii="Times New Roman" w:hAnsi="Times New Roman" w:cs="Times New Roman"/>
          <w:sz w:val="24"/>
          <w:szCs w:val="24"/>
        </w:rPr>
        <w:endnoteReference w:id="20"/>
      </w:r>
      <w:r w:rsidR="00EC4FEA">
        <w:rPr>
          <w:rFonts w:ascii="Times New Roman" w:hAnsi="Times New Roman" w:cs="Times New Roman"/>
          <w:sz w:val="24"/>
          <w:szCs w:val="24"/>
        </w:rPr>
        <w:t xml:space="preserve"> </w:t>
      </w:r>
    </w:p>
    <w:p w14:paraId="523E9A25" w14:textId="77777777" w:rsidR="000147C6" w:rsidRPr="000147C6" w:rsidRDefault="000147C6" w:rsidP="002C6566">
      <w:pPr>
        <w:spacing w:line="480" w:lineRule="auto"/>
        <w:rPr>
          <w:rFonts w:ascii="Times New Roman" w:hAnsi="Times New Roman" w:cs="Times New Roman"/>
          <w:sz w:val="24"/>
          <w:szCs w:val="24"/>
        </w:rPr>
      </w:pPr>
    </w:p>
    <w:p w14:paraId="1075D692" w14:textId="3FD74E83" w:rsidR="00892F20" w:rsidRPr="00EC4FEA" w:rsidRDefault="00FD7CB5" w:rsidP="002C6566">
      <w:pPr>
        <w:spacing w:line="480" w:lineRule="auto"/>
        <w:rPr>
          <w:rFonts w:ascii="Times New Roman" w:hAnsi="Times New Roman" w:cs="Times New Roman"/>
          <w:b/>
          <w:i/>
          <w:sz w:val="24"/>
          <w:szCs w:val="24"/>
        </w:rPr>
      </w:pPr>
      <w:r>
        <w:rPr>
          <w:rFonts w:ascii="Times New Roman" w:hAnsi="Times New Roman" w:cs="Times New Roman"/>
          <w:b/>
          <w:i/>
          <w:sz w:val="24"/>
          <w:szCs w:val="24"/>
        </w:rPr>
        <w:t>Colonisation and the medievalist cultural archive</w:t>
      </w:r>
    </w:p>
    <w:p w14:paraId="6036A606" w14:textId="69801B68" w:rsidR="00892F20" w:rsidRPr="00AF6C85" w:rsidRDefault="000147C6" w:rsidP="002C6566">
      <w:pPr>
        <w:spacing w:line="480" w:lineRule="auto"/>
        <w:rPr>
          <w:rFonts w:ascii="Times New Roman" w:hAnsi="Times New Roman" w:cs="Times New Roman"/>
          <w:sz w:val="24"/>
          <w:szCs w:val="24"/>
        </w:rPr>
      </w:pPr>
      <w:r>
        <w:rPr>
          <w:rFonts w:ascii="Times New Roman" w:hAnsi="Times New Roman" w:cs="Times New Roman"/>
          <w:sz w:val="24"/>
          <w:szCs w:val="24"/>
        </w:rPr>
        <w:t>The cultural archive of British history e</w:t>
      </w:r>
      <w:r w:rsidR="001905C2">
        <w:rPr>
          <w:rFonts w:ascii="Times New Roman" w:hAnsi="Times New Roman" w:cs="Times New Roman"/>
          <w:sz w:val="24"/>
          <w:szCs w:val="24"/>
        </w:rPr>
        <w:t>nables a Foucauldian genealogy for colonialism and imperialism to be constructed in an Australian context.</w:t>
      </w:r>
      <w:r>
        <w:rPr>
          <w:rFonts w:ascii="Times New Roman" w:hAnsi="Times New Roman" w:cs="Times New Roman"/>
          <w:sz w:val="24"/>
          <w:szCs w:val="24"/>
        </w:rPr>
        <w:t xml:space="preserve"> </w:t>
      </w:r>
      <w:r w:rsidR="00892F20" w:rsidRPr="00AF6C85">
        <w:rPr>
          <w:rFonts w:ascii="Times New Roman" w:hAnsi="Times New Roman" w:cs="Times New Roman"/>
          <w:sz w:val="24"/>
          <w:szCs w:val="24"/>
        </w:rPr>
        <w:t xml:space="preserve">In the lead up to the High Court’s </w:t>
      </w:r>
      <w:r w:rsidR="00892F20" w:rsidRPr="00AF6C85">
        <w:rPr>
          <w:rFonts w:ascii="Times New Roman" w:hAnsi="Times New Roman" w:cs="Times New Roman"/>
          <w:sz w:val="24"/>
          <w:szCs w:val="24"/>
        </w:rPr>
        <w:lastRenderedPageBreak/>
        <w:t xml:space="preserve">final ruling in </w:t>
      </w:r>
      <w:r w:rsidR="00892F20" w:rsidRPr="00AF6C85">
        <w:rPr>
          <w:rFonts w:ascii="Times New Roman" w:hAnsi="Times New Roman" w:cs="Times New Roman"/>
          <w:i/>
          <w:sz w:val="24"/>
          <w:szCs w:val="24"/>
        </w:rPr>
        <w:t>Mabo</w:t>
      </w:r>
      <w:r w:rsidR="00576AD0">
        <w:rPr>
          <w:rFonts w:ascii="Times New Roman" w:hAnsi="Times New Roman" w:cs="Times New Roman"/>
          <w:sz w:val="24"/>
          <w:szCs w:val="24"/>
        </w:rPr>
        <w:t>,</w:t>
      </w:r>
      <w:r w:rsidR="00892F20" w:rsidRPr="00AF6C85">
        <w:rPr>
          <w:rFonts w:ascii="Times New Roman" w:hAnsi="Times New Roman" w:cs="Times New Roman"/>
          <w:sz w:val="24"/>
          <w:szCs w:val="24"/>
        </w:rPr>
        <w:t xml:space="preserve"> a 1991 briefing paper for the state parliament of Queensland (the Queensland state government was the defendant in the case), the history of Britain was figured as having made English common law particularly suited to dealing with empire:</w:t>
      </w:r>
    </w:p>
    <w:p w14:paraId="333764DB" w14:textId="0F2FC6B1" w:rsidR="00892F20" w:rsidRPr="00AF6C85" w:rsidRDefault="00892F20" w:rsidP="00A03821">
      <w:pPr>
        <w:spacing w:line="480" w:lineRule="auto"/>
        <w:ind w:left="567"/>
        <w:rPr>
          <w:rFonts w:ascii="Times New Roman" w:hAnsi="Times New Roman" w:cs="Times New Roman"/>
          <w:sz w:val="24"/>
          <w:szCs w:val="24"/>
        </w:rPr>
      </w:pPr>
      <w:r w:rsidRPr="00AF6C85">
        <w:rPr>
          <w:rFonts w:ascii="Times New Roman" w:hAnsi="Times New Roman" w:cs="Times New Roman"/>
          <w:sz w:val="24"/>
          <w:szCs w:val="24"/>
        </w:rPr>
        <w:t>The Europeans and British were already well experienced in colonial enterprise. Britain had been successively invaded by the Romans, Anglo Saxons, the Danes, and in 1066 by the Normans. Each displaced and absorbed their predecessors with varying degrees of violence. However Great Britain has never been invaded since 1066 and in the eighteenth century became a colonizing power itself. Their history produced legal precedents to resolve the complex issues involved in the acquisition and management of an overseas empire.</w:t>
      </w:r>
      <w:r w:rsidRPr="00AF6C85">
        <w:rPr>
          <w:rStyle w:val="EndnoteReference"/>
          <w:rFonts w:ascii="Times New Roman" w:hAnsi="Times New Roman" w:cs="Times New Roman"/>
          <w:sz w:val="24"/>
          <w:szCs w:val="24"/>
        </w:rPr>
        <w:endnoteReference w:id="21"/>
      </w:r>
    </w:p>
    <w:p w14:paraId="5A48D4E6" w14:textId="42CA83D7" w:rsidR="00892F20" w:rsidRPr="00AF6C85" w:rsidRDefault="00CF464D" w:rsidP="002C6566">
      <w:pPr>
        <w:spacing w:line="480" w:lineRule="auto"/>
        <w:rPr>
          <w:rFonts w:ascii="Times New Roman" w:hAnsi="Times New Roman" w:cs="Times New Roman"/>
          <w:sz w:val="24"/>
          <w:szCs w:val="24"/>
        </w:rPr>
      </w:pPr>
      <w:r w:rsidRPr="00AF6C85">
        <w:rPr>
          <w:rFonts w:ascii="Times New Roman" w:hAnsi="Times New Roman" w:cs="Times New Roman"/>
          <w:sz w:val="24"/>
          <w:szCs w:val="24"/>
        </w:rPr>
        <w:t xml:space="preserve">Britain – and its colony Australia – </w:t>
      </w:r>
      <w:r>
        <w:rPr>
          <w:rFonts w:ascii="Times New Roman" w:hAnsi="Times New Roman" w:cs="Times New Roman"/>
          <w:sz w:val="24"/>
          <w:szCs w:val="24"/>
        </w:rPr>
        <w:t>is constructed here as</w:t>
      </w:r>
      <w:r w:rsidRPr="00AF6C85">
        <w:rPr>
          <w:rFonts w:ascii="Times New Roman" w:hAnsi="Times New Roman" w:cs="Times New Roman"/>
          <w:sz w:val="24"/>
          <w:szCs w:val="24"/>
        </w:rPr>
        <w:t xml:space="preserve"> a power with an intimate, even unique expertise on colonisation, having been both coloniser and colonised. </w:t>
      </w:r>
      <w:r>
        <w:rPr>
          <w:rFonts w:ascii="Times New Roman" w:hAnsi="Times New Roman" w:cs="Times New Roman"/>
          <w:sz w:val="24"/>
          <w:szCs w:val="24"/>
        </w:rPr>
        <w:t>Its peoples have</w:t>
      </w:r>
      <w:r w:rsidR="00892F20" w:rsidRPr="00AF6C85">
        <w:rPr>
          <w:rFonts w:ascii="Times New Roman" w:hAnsi="Times New Roman" w:cs="Times New Roman"/>
          <w:sz w:val="24"/>
          <w:szCs w:val="24"/>
        </w:rPr>
        <w:t xml:space="preserve"> learned so well from their </w:t>
      </w:r>
      <w:r w:rsidR="00A20E21">
        <w:rPr>
          <w:rFonts w:ascii="Times New Roman" w:hAnsi="Times New Roman" w:cs="Times New Roman"/>
          <w:sz w:val="24"/>
          <w:szCs w:val="24"/>
        </w:rPr>
        <w:t xml:space="preserve">collective </w:t>
      </w:r>
      <w:r w:rsidR="00892F20" w:rsidRPr="00AF6C85">
        <w:rPr>
          <w:rFonts w:ascii="Times New Roman" w:hAnsi="Times New Roman" w:cs="Times New Roman"/>
          <w:sz w:val="24"/>
          <w:szCs w:val="24"/>
        </w:rPr>
        <w:t>experience of being colonised that they became highly successful colonisers, with a legal system to match that success; people, culture, and social institutions</w:t>
      </w:r>
      <w:r w:rsidR="00A20E21">
        <w:rPr>
          <w:rFonts w:ascii="Times New Roman" w:hAnsi="Times New Roman" w:cs="Times New Roman"/>
          <w:sz w:val="24"/>
          <w:szCs w:val="24"/>
        </w:rPr>
        <w:t xml:space="preserve"> are wound together into a colonial Self</w:t>
      </w:r>
      <w:r w:rsidR="00892F20" w:rsidRPr="00AF6C85">
        <w:rPr>
          <w:rFonts w:ascii="Times New Roman" w:hAnsi="Times New Roman" w:cs="Times New Roman"/>
          <w:sz w:val="24"/>
          <w:szCs w:val="24"/>
        </w:rPr>
        <w:t xml:space="preserve">. This </w:t>
      </w:r>
      <w:r w:rsidR="00A20E21">
        <w:rPr>
          <w:rFonts w:ascii="Times New Roman" w:hAnsi="Times New Roman" w:cs="Times New Roman"/>
          <w:sz w:val="24"/>
          <w:szCs w:val="24"/>
        </w:rPr>
        <w:t xml:space="preserve">teleological </w:t>
      </w:r>
      <w:r w:rsidR="0042364E">
        <w:rPr>
          <w:rFonts w:ascii="Times New Roman" w:hAnsi="Times New Roman" w:cs="Times New Roman"/>
          <w:sz w:val="24"/>
          <w:szCs w:val="24"/>
        </w:rPr>
        <w:t>temporal</w:t>
      </w:r>
      <w:r w:rsidR="00892F20" w:rsidRPr="00AF6C85">
        <w:rPr>
          <w:rFonts w:ascii="Times New Roman" w:hAnsi="Times New Roman" w:cs="Times New Roman"/>
          <w:sz w:val="24"/>
          <w:szCs w:val="24"/>
        </w:rPr>
        <w:t xml:space="preserve"> structure resonates with nineteenth-century progressivist concepts of race,</w:t>
      </w:r>
      <w:r w:rsidR="00892F20" w:rsidRPr="00AF6C85">
        <w:rPr>
          <w:rStyle w:val="EndnoteReference"/>
          <w:rFonts w:ascii="Times New Roman" w:hAnsi="Times New Roman" w:cs="Times New Roman"/>
          <w:sz w:val="24"/>
          <w:szCs w:val="24"/>
        </w:rPr>
        <w:endnoteReference w:id="22"/>
      </w:r>
      <w:r w:rsidR="00892F20" w:rsidRPr="00AF6C85">
        <w:rPr>
          <w:rFonts w:ascii="Times New Roman" w:hAnsi="Times New Roman" w:cs="Times New Roman"/>
          <w:sz w:val="24"/>
          <w:szCs w:val="24"/>
        </w:rPr>
        <w:t xml:space="preserve"> and with twenty-first-century discourses in which white Western people are understood to be the inheritors of “cumulative cultural knowledg</w:t>
      </w:r>
      <w:r w:rsidR="008C3BE7">
        <w:rPr>
          <w:rFonts w:ascii="Times New Roman" w:hAnsi="Times New Roman" w:cs="Times New Roman"/>
          <w:sz w:val="24"/>
          <w:szCs w:val="24"/>
        </w:rPr>
        <w:t>e, acquired over centuries” in “</w:t>
      </w:r>
      <w:r w:rsidR="00892F20" w:rsidRPr="00AF6C85">
        <w:rPr>
          <w:rFonts w:ascii="Times New Roman" w:hAnsi="Times New Roman" w:cs="Times New Roman"/>
          <w:sz w:val="24"/>
          <w:szCs w:val="24"/>
        </w:rPr>
        <w:t xml:space="preserve">contrast </w:t>
      </w:r>
      <w:r w:rsidR="008C3BE7">
        <w:rPr>
          <w:rFonts w:ascii="Times New Roman" w:hAnsi="Times New Roman" w:cs="Times New Roman"/>
          <w:sz w:val="24"/>
          <w:szCs w:val="24"/>
        </w:rPr>
        <w:t xml:space="preserve">[with] </w:t>
      </w:r>
      <w:r w:rsidR="00892F20" w:rsidRPr="00AF6C85">
        <w:rPr>
          <w:rFonts w:ascii="Times New Roman" w:hAnsi="Times New Roman" w:cs="Times New Roman"/>
          <w:sz w:val="24"/>
          <w:szCs w:val="24"/>
        </w:rPr>
        <w:t xml:space="preserve">Indigenous people … </w:t>
      </w:r>
      <w:r w:rsidR="008C3BE7">
        <w:rPr>
          <w:rFonts w:ascii="Times New Roman" w:hAnsi="Times New Roman" w:cs="Times New Roman"/>
          <w:sz w:val="24"/>
          <w:szCs w:val="24"/>
        </w:rPr>
        <w:t xml:space="preserve">[who] </w:t>
      </w:r>
      <w:r w:rsidR="00892F20" w:rsidRPr="00AF6C85">
        <w:rPr>
          <w:rFonts w:ascii="Times New Roman" w:hAnsi="Times New Roman" w:cs="Times New Roman"/>
          <w:sz w:val="24"/>
          <w:szCs w:val="24"/>
        </w:rPr>
        <w:t>have not had time to develop the appropriate cultural knowledge.”</w:t>
      </w:r>
      <w:r w:rsidR="00892F20" w:rsidRPr="00AF6C85">
        <w:rPr>
          <w:rStyle w:val="EndnoteReference"/>
          <w:rFonts w:ascii="Times New Roman" w:hAnsi="Times New Roman" w:cs="Times New Roman"/>
          <w:sz w:val="24"/>
          <w:szCs w:val="24"/>
        </w:rPr>
        <w:endnoteReference w:id="23"/>
      </w:r>
      <w:r w:rsidR="00892F20" w:rsidRPr="00AF6C85">
        <w:rPr>
          <w:rFonts w:ascii="Times New Roman" w:hAnsi="Times New Roman" w:cs="Times New Roman"/>
          <w:sz w:val="24"/>
          <w:szCs w:val="24"/>
        </w:rPr>
        <w:t xml:space="preserve"> </w:t>
      </w:r>
      <w:r w:rsidRPr="00AF6C85">
        <w:rPr>
          <w:rFonts w:ascii="Times New Roman" w:hAnsi="Times New Roman" w:cs="Times New Roman"/>
          <w:sz w:val="24"/>
          <w:szCs w:val="24"/>
        </w:rPr>
        <w:t>The pivot from the Norman conquest in 1066 to eighteenth-century imperialism draws attention to the Middle Ages as a key period in the successful transition of the British-English from being subject to acquisition and management by foreign powers to acquiring and managi</w:t>
      </w:r>
      <w:r>
        <w:rPr>
          <w:rFonts w:ascii="Times New Roman" w:hAnsi="Times New Roman" w:cs="Times New Roman"/>
          <w:sz w:val="24"/>
          <w:szCs w:val="24"/>
        </w:rPr>
        <w:t>ng their own empire;</w:t>
      </w:r>
      <w:r w:rsidRPr="00AF6C85">
        <w:rPr>
          <w:rFonts w:ascii="Times New Roman" w:hAnsi="Times New Roman" w:cs="Times New Roman"/>
          <w:sz w:val="24"/>
          <w:szCs w:val="24"/>
        </w:rPr>
        <w:t xml:space="preserve"> at its peak arguably the most successful global imperial endeavour in history. </w:t>
      </w:r>
      <w:r>
        <w:rPr>
          <w:rFonts w:ascii="Times New Roman" w:hAnsi="Times New Roman" w:cs="Times New Roman"/>
          <w:sz w:val="24"/>
          <w:szCs w:val="24"/>
        </w:rPr>
        <w:t>The teleological structure</w:t>
      </w:r>
      <w:r w:rsidRPr="00AF6C85">
        <w:rPr>
          <w:rFonts w:ascii="Times New Roman" w:hAnsi="Times New Roman" w:cs="Times New Roman"/>
          <w:sz w:val="24"/>
          <w:szCs w:val="24"/>
        </w:rPr>
        <w:t xml:space="preserve"> points to the past, through the Middle Ages to the classical era, but also to t</w:t>
      </w:r>
      <w:r>
        <w:rPr>
          <w:rFonts w:ascii="Times New Roman" w:hAnsi="Times New Roman" w:cs="Times New Roman"/>
          <w:sz w:val="24"/>
          <w:szCs w:val="24"/>
        </w:rPr>
        <w:t xml:space="preserve">he future and the High Court’s pending ruling in </w:t>
      </w:r>
      <w:r>
        <w:rPr>
          <w:rFonts w:ascii="Times New Roman" w:hAnsi="Times New Roman" w:cs="Times New Roman"/>
          <w:i/>
          <w:sz w:val="24"/>
          <w:szCs w:val="24"/>
        </w:rPr>
        <w:t>Mabo</w:t>
      </w:r>
      <w:r>
        <w:rPr>
          <w:rFonts w:ascii="Times New Roman" w:hAnsi="Times New Roman" w:cs="Times New Roman"/>
          <w:sz w:val="24"/>
          <w:szCs w:val="24"/>
        </w:rPr>
        <w:t xml:space="preserve"> and beyond.</w:t>
      </w:r>
      <w:r w:rsidRPr="00AF6C85">
        <w:rPr>
          <w:rFonts w:ascii="Times New Roman" w:hAnsi="Times New Roman" w:cs="Times New Roman"/>
          <w:sz w:val="24"/>
          <w:szCs w:val="24"/>
        </w:rPr>
        <w:t xml:space="preserve"> </w:t>
      </w:r>
      <w:r w:rsidR="007D45FC">
        <w:rPr>
          <w:rFonts w:ascii="Times New Roman" w:hAnsi="Times New Roman" w:cs="Times New Roman"/>
          <w:sz w:val="24"/>
          <w:szCs w:val="24"/>
        </w:rPr>
        <w:t xml:space="preserve">The collective </w:t>
      </w:r>
      <w:r w:rsidR="007D45FC">
        <w:rPr>
          <w:rFonts w:ascii="Times New Roman" w:hAnsi="Times New Roman" w:cs="Times New Roman"/>
          <w:sz w:val="24"/>
          <w:szCs w:val="24"/>
        </w:rPr>
        <w:lastRenderedPageBreak/>
        <w:t xml:space="preserve">experience of the various peoples of the British Isles are welded </w:t>
      </w:r>
      <w:r w:rsidR="004841C3">
        <w:rPr>
          <w:rFonts w:ascii="Times New Roman" w:hAnsi="Times New Roman" w:cs="Times New Roman"/>
          <w:sz w:val="24"/>
          <w:szCs w:val="24"/>
        </w:rPr>
        <w:t>in this passage</w:t>
      </w:r>
      <w:r w:rsidR="007D45FC">
        <w:rPr>
          <w:rFonts w:ascii="Times New Roman" w:hAnsi="Times New Roman" w:cs="Times New Roman"/>
          <w:sz w:val="24"/>
          <w:szCs w:val="24"/>
        </w:rPr>
        <w:t xml:space="preserve"> into a single history, a cultural a</w:t>
      </w:r>
      <w:r w:rsidR="004841C3">
        <w:rPr>
          <w:rFonts w:ascii="Times New Roman" w:hAnsi="Times New Roman" w:cs="Times New Roman"/>
          <w:sz w:val="24"/>
          <w:szCs w:val="24"/>
        </w:rPr>
        <w:t>rchive as Tuhiwai-Smith puts it, which is expressed in and exercised through the modern social institution of the law.</w:t>
      </w:r>
      <w:r>
        <w:rPr>
          <w:rFonts w:ascii="Times New Roman" w:hAnsi="Times New Roman" w:cs="Times New Roman"/>
          <w:sz w:val="24"/>
          <w:szCs w:val="24"/>
        </w:rPr>
        <w:t xml:space="preserve"> </w:t>
      </w:r>
      <w:r w:rsidR="00892F20" w:rsidRPr="00AF6C85">
        <w:rPr>
          <w:rFonts w:ascii="Times New Roman" w:hAnsi="Times New Roman" w:cs="Times New Roman"/>
          <w:sz w:val="24"/>
          <w:szCs w:val="24"/>
        </w:rPr>
        <w:t>The passage, perhaps unwittingly, points to the reality of the English common law: it is genuinely particularly suited to acq</w:t>
      </w:r>
      <w:r w:rsidR="007D45FC">
        <w:rPr>
          <w:rFonts w:ascii="Times New Roman" w:hAnsi="Times New Roman" w:cs="Times New Roman"/>
          <w:sz w:val="24"/>
          <w:szCs w:val="24"/>
        </w:rPr>
        <w:t>uir</w:t>
      </w:r>
      <w:r w:rsidR="00892F20" w:rsidRPr="00AF6C85">
        <w:rPr>
          <w:rFonts w:ascii="Times New Roman" w:hAnsi="Times New Roman" w:cs="Times New Roman"/>
          <w:sz w:val="24"/>
          <w:szCs w:val="24"/>
        </w:rPr>
        <w:t>ing and maintaining power, territory and resources because it is designed to do so</w:t>
      </w:r>
      <w:r w:rsidR="007D45FC">
        <w:rPr>
          <w:rFonts w:ascii="Times New Roman" w:hAnsi="Times New Roman" w:cs="Times New Roman"/>
          <w:sz w:val="24"/>
          <w:szCs w:val="24"/>
        </w:rPr>
        <w:t xml:space="preserve"> and has been applied to create precedent</w:t>
      </w:r>
      <w:r w:rsidR="00892F20" w:rsidRPr="00AF6C85">
        <w:rPr>
          <w:rFonts w:ascii="Times New Roman" w:hAnsi="Times New Roman" w:cs="Times New Roman"/>
          <w:sz w:val="24"/>
          <w:szCs w:val="24"/>
        </w:rPr>
        <w:t>. White possessive logics that are structured by “excessive desire to own, control and dominate” underpin the application of English common law,</w:t>
      </w:r>
      <w:r w:rsidR="00892F20" w:rsidRPr="00AF6C85">
        <w:rPr>
          <w:rStyle w:val="EndnoteReference"/>
          <w:rFonts w:ascii="Times New Roman" w:hAnsi="Times New Roman" w:cs="Times New Roman"/>
          <w:sz w:val="24"/>
          <w:szCs w:val="24"/>
        </w:rPr>
        <w:endnoteReference w:id="24"/>
      </w:r>
      <w:r w:rsidR="00892F20" w:rsidRPr="00AF6C85">
        <w:rPr>
          <w:rFonts w:ascii="Times New Roman" w:hAnsi="Times New Roman" w:cs="Times New Roman"/>
          <w:sz w:val="24"/>
          <w:szCs w:val="24"/>
        </w:rPr>
        <w:t xml:space="preserve"> the precedents that are invoked, and the rulings that are made as a result. </w:t>
      </w:r>
    </w:p>
    <w:p w14:paraId="27A05DB5" w14:textId="49D79873" w:rsidR="00892F20" w:rsidRPr="00AF6C85" w:rsidRDefault="00892F20" w:rsidP="002C6566">
      <w:pPr>
        <w:spacing w:line="480" w:lineRule="auto"/>
        <w:rPr>
          <w:rFonts w:ascii="Times New Roman" w:hAnsi="Times New Roman" w:cs="Times New Roman"/>
          <w:sz w:val="24"/>
          <w:szCs w:val="24"/>
        </w:rPr>
      </w:pPr>
    </w:p>
    <w:p w14:paraId="26EE4A10" w14:textId="65C5B675" w:rsidR="00892F20" w:rsidRPr="00AF6C85" w:rsidRDefault="00FD7CB5" w:rsidP="002C6566">
      <w:pPr>
        <w:spacing w:line="480" w:lineRule="auto"/>
        <w:rPr>
          <w:rFonts w:ascii="Times New Roman" w:hAnsi="Times New Roman" w:cs="Times New Roman"/>
          <w:sz w:val="24"/>
          <w:szCs w:val="24"/>
        </w:rPr>
      </w:pPr>
      <w:r>
        <w:rPr>
          <w:rFonts w:ascii="Times New Roman" w:hAnsi="Times New Roman" w:cs="Times New Roman"/>
          <w:sz w:val="24"/>
          <w:szCs w:val="24"/>
        </w:rPr>
        <w:t xml:space="preserve">The medieval </w:t>
      </w:r>
      <w:r w:rsidR="008C3BE7">
        <w:rPr>
          <w:rFonts w:ascii="Times New Roman" w:hAnsi="Times New Roman" w:cs="Times New Roman"/>
          <w:sz w:val="24"/>
          <w:szCs w:val="24"/>
        </w:rPr>
        <w:t>Engl</w:t>
      </w:r>
      <w:r>
        <w:rPr>
          <w:rFonts w:ascii="Times New Roman" w:hAnsi="Times New Roman" w:cs="Times New Roman"/>
          <w:sz w:val="24"/>
          <w:szCs w:val="24"/>
        </w:rPr>
        <w:t>i</w:t>
      </w:r>
      <w:r w:rsidR="008C3BE7">
        <w:rPr>
          <w:rFonts w:ascii="Times New Roman" w:hAnsi="Times New Roman" w:cs="Times New Roman"/>
          <w:sz w:val="24"/>
          <w:szCs w:val="24"/>
        </w:rPr>
        <w:t>s</w:t>
      </w:r>
      <w:r>
        <w:rPr>
          <w:rFonts w:ascii="Times New Roman" w:hAnsi="Times New Roman" w:cs="Times New Roman"/>
          <w:sz w:val="24"/>
          <w:szCs w:val="24"/>
        </w:rPr>
        <w:t xml:space="preserve">h cultural archive provides </w:t>
      </w:r>
      <w:r w:rsidR="00892F20" w:rsidRPr="00AF6C85">
        <w:rPr>
          <w:rFonts w:ascii="Times New Roman" w:hAnsi="Times New Roman" w:cs="Times New Roman"/>
          <w:sz w:val="24"/>
          <w:szCs w:val="24"/>
        </w:rPr>
        <w:t xml:space="preserve">models for colonialist </w:t>
      </w:r>
      <w:r w:rsidR="00A20E21">
        <w:rPr>
          <w:rFonts w:ascii="Times New Roman" w:hAnsi="Times New Roman" w:cs="Times New Roman"/>
          <w:sz w:val="24"/>
          <w:szCs w:val="24"/>
        </w:rPr>
        <w:t xml:space="preserve">possessive logics </w:t>
      </w:r>
      <w:r w:rsidR="00892F20" w:rsidRPr="00AF6C85">
        <w:rPr>
          <w:rFonts w:ascii="Times New Roman" w:hAnsi="Times New Roman" w:cs="Times New Roman"/>
          <w:sz w:val="24"/>
          <w:szCs w:val="24"/>
        </w:rPr>
        <w:t xml:space="preserve">and for constructions of the colonial Self. The summary of </w:t>
      </w:r>
      <w:r w:rsidR="004841C3">
        <w:rPr>
          <w:rFonts w:ascii="Times New Roman" w:hAnsi="Times New Roman" w:cs="Times New Roman"/>
          <w:sz w:val="24"/>
          <w:szCs w:val="24"/>
        </w:rPr>
        <w:t xml:space="preserve">the </w:t>
      </w:r>
      <w:r w:rsidR="00892F20" w:rsidRPr="00AF6C85">
        <w:rPr>
          <w:rFonts w:ascii="Times New Roman" w:hAnsi="Times New Roman" w:cs="Times New Roman"/>
          <w:sz w:val="24"/>
          <w:szCs w:val="24"/>
        </w:rPr>
        <w:t>history</w:t>
      </w:r>
      <w:r w:rsidR="004841C3">
        <w:rPr>
          <w:rFonts w:ascii="Times New Roman" w:hAnsi="Times New Roman" w:cs="Times New Roman"/>
          <w:sz w:val="24"/>
          <w:szCs w:val="24"/>
        </w:rPr>
        <w:t xml:space="preserve"> of the peoples of the British Isles</w:t>
      </w:r>
      <w:r w:rsidR="00892F20" w:rsidRPr="00AF6C85">
        <w:rPr>
          <w:rFonts w:ascii="Times New Roman" w:hAnsi="Times New Roman" w:cs="Times New Roman"/>
          <w:sz w:val="24"/>
          <w:szCs w:val="24"/>
        </w:rPr>
        <w:t xml:space="preserve"> quoted abov</w:t>
      </w:r>
      <w:r w:rsidR="004841C3">
        <w:rPr>
          <w:rFonts w:ascii="Times New Roman" w:hAnsi="Times New Roman" w:cs="Times New Roman"/>
          <w:sz w:val="24"/>
          <w:szCs w:val="24"/>
        </w:rPr>
        <w:t xml:space="preserve">e resonates strikingly with medieval versions of that same history. The </w:t>
      </w:r>
      <w:r w:rsidR="00892F20" w:rsidRPr="00AF6C85">
        <w:rPr>
          <w:rFonts w:ascii="Times New Roman" w:hAnsi="Times New Roman" w:cs="Times New Roman"/>
          <w:sz w:val="24"/>
          <w:szCs w:val="24"/>
        </w:rPr>
        <w:t xml:space="preserve">twelfth-century </w:t>
      </w:r>
      <w:r w:rsidR="004841C3">
        <w:rPr>
          <w:rFonts w:ascii="Times New Roman" w:hAnsi="Times New Roman" w:cs="Times New Roman"/>
          <w:sz w:val="24"/>
          <w:szCs w:val="24"/>
        </w:rPr>
        <w:t xml:space="preserve">account of Henry of Huntingdon presents </w:t>
      </w:r>
      <w:r w:rsidR="00892F20" w:rsidRPr="00AF6C85">
        <w:rPr>
          <w:rFonts w:ascii="Times New Roman" w:hAnsi="Times New Roman" w:cs="Times New Roman"/>
          <w:sz w:val="24"/>
          <w:szCs w:val="24"/>
        </w:rPr>
        <w:t>five</w:t>
      </w:r>
      <w:r w:rsidR="004841C3">
        <w:rPr>
          <w:rFonts w:ascii="Times New Roman" w:hAnsi="Times New Roman" w:cs="Times New Roman"/>
          <w:sz w:val="24"/>
          <w:szCs w:val="24"/>
        </w:rPr>
        <w:t xml:space="preserve"> colonial and imperial</w:t>
      </w:r>
      <w:r w:rsidR="00892F20" w:rsidRPr="00AF6C85">
        <w:rPr>
          <w:rFonts w:ascii="Times New Roman" w:hAnsi="Times New Roman" w:cs="Times New Roman"/>
          <w:sz w:val="24"/>
          <w:szCs w:val="24"/>
        </w:rPr>
        <w:t xml:space="preserve"> “plagues” inflicted as God’s punishment for sin:</w:t>
      </w:r>
    </w:p>
    <w:p w14:paraId="05442206" w14:textId="45C0A842" w:rsidR="001A0F3F" w:rsidRPr="00AF6C85" w:rsidRDefault="00892F20" w:rsidP="001A0F3F">
      <w:pPr>
        <w:spacing w:line="480" w:lineRule="auto"/>
        <w:ind w:left="567"/>
        <w:rPr>
          <w:rFonts w:ascii="Times New Roman" w:hAnsi="Times New Roman" w:cs="Times New Roman"/>
          <w:sz w:val="24"/>
          <w:szCs w:val="24"/>
        </w:rPr>
      </w:pPr>
      <w:r w:rsidRPr="00AF6C85">
        <w:rPr>
          <w:rFonts w:ascii="Times New Roman" w:hAnsi="Times New Roman" w:cs="Times New Roman"/>
          <w:sz w:val="24"/>
          <w:szCs w:val="24"/>
        </w:rPr>
        <w:t>The Romans subjugated Britain to themselves for a brief time, and ruled splendidly by right of conquest. Next the Picts and Scots made frequent incursions from the northern part of Britain. … when, after a short time, they were repulsed, they gave up their invasion. The Saxons on the other hand … gained possession of what they had taken [by warfare], built on what they had gained, and what they had built they ruled by laws. Likewise, the Normans, suddenly and quickly, subduing the land to themselves, by right of kingship, granted to the conquered their life, liberty and ancient laws.</w:t>
      </w:r>
      <w:r w:rsidRPr="00AF6C85">
        <w:rPr>
          <w:rStyle w:val="EndnoteReference"/>
          <w:rFonts w:ascii="Times New Roman" w:hAnsi="Times New Roman" w:cs="Times New Roman"/>
          <w:sz w:val="24"/>
          <w:szCs w:val="24"/>
        </w:rPr>
        <w:endnoteReference w:id="25"/>
      </w:r>
    </w:p>
    <w:p w14:paraId="5425D47B" w14:textId="1A94C132" w:rsidR="00892F20" w:rsidRPr="00AF6C85" w:rsidRDefault="00892F20" w:rsidP="0026310B">
      <w:pPr>
        <w:spacing w:line="480" w:lineRule="auto"/>
        <w:rPr>
          <w:rFonts w:ascii="Times New Roman" w:hAnsi="Times New Roman" w:cs="Times New Roman"/>
          <w:sz w:val="24"/>
          <w:szCs w:val="24"/>
        </w:rPr>
      </w:pPr>
      <w:r w:rsidRPr="00AF6C85">
        <w:rPr>
          <w:rFonts w:ascii="Times New Roman" w:hAnsi="Times New Roman" w:cs="Times New Roman"/>
          <w:sz w:val="24"/>
          <w:szCs w:val="24"/>
        </w:rPr>
        <w:t>Conquest and colonisation shaped medieval formations of British and English subjectivities articulated through historiography.</w:t>
      </w:r>
      <w:r w:rsidRPr="00AF6C85">
        <w:rPr>
          <w:rStyle w:val="EndnoteReference"/>
          <w:rFonts w:ascii="Times New Roman" w:hAnsi="Times New Roman" w:cs="Times New Roman"/>
          <w:sz w:val="24"/>
          <w:szCs w:val="24"/>
        </w:rPr>
        <w:endnoteReference w:id="26"/>
      </w:r>
      <w:r w:rsidRPr="00AF6C85">
        <w:rPr>
          <w:rFonts w:ascii="Times New Roman" w:hAnsi="Times New Roman" w:cs="Times New Roman"/>
          <w:sz w:val="24"/>
          <w:szCs w:val="24"/>
        </w:rPr>
        <w:t xml:space="preserve"> </w:t>
      </w:r>
      <w:r w:rsidR="008C3BE7">
        <w:rPr>
          <w:rFonts w:ascii="Times New Roman" w:hAnsi="Times New Roman" w:cs="Times New Roman"/>
          <w:sz w:val="24"/>
          <w:szCs w:val="24"/>
        </w:rPr>
        <w:t>In accounts from th</w:t>
      </w:r>
      <w:r w:rsidRPr="00AF6C85">
        <w:rPr>
          <w:rFonts w:ascii="Times New Roman" w:hAnsi="Times New Roman" w:cs="Times New Roman"/>
          <w:sz w:val="24"/>
          <w:szCs w:val="24"/>
        </w:rPr>
        <w:t xml:space="preserve">e </w:t>
      </w:r>
      <w:r w:rsidR="004841C3">
        <w:rPr>
          <w:rFonts w:ascii="Times New Roman" w:hAnsi="Times New Roman" w:cs="Times New Roman"/>
          <w:sz w:val="24"/>
          <w:szCs w:val="24"/>
        </w:rPr>
        <w:t>ninth century</w:t>
      </w:r>
      <w:r w:rsidR="006C6030">
        <w:rPr>
          <w:rFonts w:ascii="Times New Roman" w:hAnsi="Times New Roman" w:cs="Times New Roman"/>
          <w:sz w:val="24"/>
          <w:szCs w:val="24"/>
        </w:rPr>
        <w:t xml:space="preserve"> onward the </w:t>
      </w:r>
      <w:r w:rsidRPr="00AF6C85">
        <w:rPr>
          <w:rFonts w:ascii="Times New Roman" w:hAnsi="Times New Roman" w:cs="Times New Roman"/>
          <w:sz w:val="24"/>
          <w:szCs w:val="24"/>
        </w:rPr>
        <w:t xml:space="preserve">British were </w:t>
      </w:r>
      <w:r w:rsidR="006C6030">
        <w:rPr>
          <w:rFonts w:ascii="Times New Roman" w:hAnsi="Times New Roman" w:cs="Times New Roman"/>
          <w:sz w:val="24"/>
          <w:szCs w:val="24"/>
        </w:rPr>
        <w:t>typically represented as</w:t>
      </w:r>
      <w:r w:rsidRPr="00AF6C85">
        <w:rPr>
          <w:rFonts w:ascii="Times New Roman" w:hAnsi="Times New Roman" w:cs="Times New Roman"/>
          <w:sz w:val="24"/>
          <w:szCs w:val="24"/>
        </w:rPr>
        <w:t xml:space="preserve"> the fir</w:t>
      </w:r>
      <w:r w:rsidR="008C3BE7">
        <w:rPr>
          <w:rFonts w:ascii="Times New Roman" w:hAnsi="Times New Roman" w:cs="Times New Roman"/>
          <w:sz w:val="24"/>
          <w:szCs w:val="24"/>
        </w:rPr>
        <w:t xml:space="preserve">st humans in Britain </w:t>
      </w:r>
      <w:r w:rsidR="006C6030">
        <w:rPr>
          <w:rFonts w:ascii="Times New Roman" w:hAnsi="Times New Roman" w:cs="Times New Roman"/>
          <w:sz w:val="24"/>
          <w:szCs w:val="24"/>
        </w:rPr>
        <w:t xml:space="preserve">but not </w:t>
      </w:r>
      <w:r w:rsidR="008C3BE7">
        <w:rPr>
          <w:rFonts w:ascii="Times New Roman" w:hAnsi="Times New Roman" w:cs="Times New Roman"/>
          <w:sz w:val="24"/>
          <w:szCs w:val="24"/>
        </w:rPr>
        <w:t xml:space="preserve">as </w:t>
      </w:r>
      <w:r w:rsidRPr="00AF6C85">
        <w:rPr>
          <w:rFonts w:ascii="Times New Roman" w:hAnsi="Times New Roman" w:cs="Times New Roman"/>
          <w:sz w:val="24"/>
          <w:szCs w:val="24"/>
        </w:rPr>
        <w:t>indige</w:t>
      </w:r>
      <w:r w:rsidR="006C6030">
        <w:rPr>
          <w:rFonts w:ascii="Times New Roman" w:hAnsi="Times New Roman" w:cs="Times New Roman"/>
          <w:sz w:val="24"/>
          <w:szCs w:val="24"/>
        </w:rPr>
        <w:t>nous to that land</w:t>
      </w:r>
      <w:r w:rsidR="004841C3">
        <w:rPr>
          <w:rFonts w:ascii="Times New Roman" w:hAnsi="Times New Roman" w:cs="Times New Roman"/>
          <w:sz w:val="24"/>
          <w:szCs w:val="24"/>
        </w:rPr>
        <w:t>;</w:t>
      </w:r>
      <w:r w:rsidR="006C6030">
        <w:rPr>
          <w:rFonts w:ascii="Times New Roman" w:hAnsi="Times New Roman" w:cs="Times New Roman"/>
          <w:sz w:val="24"/>
          <w:szCs w:val="24"/>
        </w:rPr>
        <w:t xml:space="preserve"> </w:t>
      </w:r>
      <w:r w:rsidR="006C6030">
        <w:rPr>
          <w:rFonts w:ascii="Times New Roman" w:hAnsi="Times New Roman" w:cs="Times New Roman"/>
          <w:sz w:val="24"/>
          <w:szCs w:val="24"/>
        </w:rPr>
        <w:lastRenderedPageBreak/>
        <w:t xml:space="preserve">they were rather </w:t>
      </w:r>
      <w:r w:rsidRPr="00AF6C85">
        <w:rPr>
          <w:rFonts w:ascii="Times New Roman" w:hAnsi="Times New Roman" w:cs="Times New Roman"/>
          <w:sz w:val="24"/>
          <w:szCs w:val="24"/>
        </w:rPr>
        <w:t>said to have arrived and settled there from origins in the Middle East (variously Biblical, Trojan, or a combination of the two).</w:t>
      </w:r>
      <w:r>
        <w:rPr>
          <w:rStyle w:val="EndnoteReference"/>
          <w:rFonts w:ascii="Times New Roman" w:hAnsi="Times New Roman" w:cs="Times New Roman"/>
          <w:sz w:val="24"/>
          <w:szCs w:val="24"/>
        </w:rPr>
        <w:endnoteReference w:id="27"/>
      </w:r>
      <w:r w:rsidR="006C6030">
        <w:rPr>
          <w:rFonts w:ascii="Times New Roman" w:hAnsi="Times New Roman" w:cs="Times New Roman"/>
          <w:sz w:val="24"/>
          <w:szCs w:val="24"/>
        </w:rPr>
        <w:t xml:space="preserve"> The origins of </w:t>
      </w:r>
      <w:r w:rsidR="006C6030">
        <w:rPr>
          <w:rFonts w:ascii="Times New Roman" w:hAnsi="Times New Roman" w:cs="Times New Roman"/>
          <w:i/>
          <w:sz w:val="24"/>
          <w:szCs w:val="24"/>
        </w:rPr>
        <w:t>terra nullius</w:t>
      </w:r>
      <w:r w:rsidR="006C6030">
        <w:rPr>
          <w:rFonts w:ascii="Times New Roman" w:hAnsi="Times New Roman" w:cs="Times New Roman"/>
          <w:sz w:val="24"/>
          <w:szCs w:val="24"/>
        </w:rPr>
        <w:t xml:space="preserve"> as an articulated legal principle have been traced to the sixteenth century,</w:t>
      </w:r>
      <w:r w:rsidR="006C6030">
        <w:rPr>
          <w:rStyle w:val="EndnoteReference"/>
          <w:rFonts w:ascii="Times New Roman" w:hAnsi="Times New Roman" w:cs="Times New Roman"/>
          <w:sz w:val="24"/>
          <w:szCs w:val="24"/>
        </w:rPr>
        <w:endnoteReference w:id="28"/>
      </w:r>
      <w:r w:rsidRPr="00AF6C85">
        <w:rPr>
          <w:rFonts w:ascii="Times New Roman" w:hAnsi="Times New Roman" w:cs="Times New Roman"/>
          <w:sz w:val="24"/>
          <w:szCs w:val="24"/>
        </w:rPr>
        <w:t xml:space="preserve"> </w:t>
      </w:r>
      <w:r w:rsidR="006C6030">
        <w:rPr>
          <w:rFonts w:ascii="Times New Roman" w:hAnsi="Times New Roman" w:cs="Times New Roman"/>
          <w:sz w:val="24"/>
          <w:szCs w:val="24"/>
        </w:rPr>
        <w:t>but medieval historiography offe</w:t>
      </w:r>
      <w:r w:rsidR="004841C3">
        <w:rPr>
          <w:rFonts w:ascii="Times New Roman" w:hAnsi="Times New Roman" w:cs="Times New Roman"/>
          <w:sz w:val="24"/>
          <w:szCs w:val="24"/>
        </w:rPr>
        <w:t>r</w:t>
      </w:r>
      <w:r w:rsidR="006C6030">
        <w:rPr>
          <w:rFonts w:ascii="Times New Roman" w:hAnsi="Times New Roman" w:cs="Times New Roman"/>
          <w:sz w:val="24"/>
          <w:szCs w:val="24"/>
        </w:rPr>
        <w:t xml:space="preserve">s a much older model for the practice of refusing to recognise the humanity </w:t>
      </w:r>
      <w:r w:rsidR="00CF464D">
        <w:rPr>
          <w:rFonts w:ascii="Times New Roman" w:hAnsi="Times New Roman" w:cs="Times New Roman"/>
          <w:sz w:val="24"/>
          <w:szCs w:val="24"/>
        </w:rPr>
        <w:t>of the inhabitants of a country.</w:t>
      </w:r>
      <w:r w:rsidR="006C6030">
        <w:rPr>
          <w:rFonts w:ascii="Times New Roman" w:hAnsi="Times New Roman" w:cs="Times New Roman"/>
          <w:sz w:val="24"/>
          <w:szCs w:val="24"/>
        </w:rPr>
        <w:t xml:space="preserve"> Britain was often </w:t>
      </w:r>
      <w:r w:rsidR="006C6030" w:rsidRPr="00AF6C85">
        <w:rPr>
          <w:rFonts w:ascii="Times New Roman" w:hAnsi="Times New Roman" w:cs="Times New Roman"/>
          <w:sz w:val="24"/>
          <w:szCs w:val="24"/>
        </w:rPr>
        <w:t>said to have been previou</w:t>
      </w:r>
      <w:r w:rsidR="006C6030">
        <w:rPr>
          <w:rFonts w:ascii="Times New Roman" w:hAnsi="Times New Roman" w:cs="Times New Roman"/>
          <w:sz w:val="24"/>
          <w:szCs w:val="24"/>
        </w:rPr>
        <w:t>sly occupied by giants whom the British</w:t>
      </w:r>
      <w:r w:rsidR="006C6030" w:rsidRPr="00AF6C85">
        <w:rPr>
          <w:rFonts w:ascii="Times New Roman" w:hAnsi="Times New Roman" w:cs="Times New Roman"/>
          <w:sz w:val="24"/>
          <w:szCs w:val="24"/>
        </w:rPr>
        <w:t xml:space="preserve"> dispo</w:t>
      </w:r>
      <w:r w:rsidR="006C6030">
        <w:rPr>
          <w:rFonts w:ascii="Times New Roman" w:hAnsi="Times New Roman" w:cs="Times New Roman"/>
          <w:sz w:val="24"/>
          <w:szCs w:val="24"/>
        </w:rPr>
        <w:t>ssessed</w:t>
      </w:r>
      <w:r w:rsidR="004841C3">
        <w:rPr>
          <w:rFonts w:ascii="Times New Roman" w:hAnsi="Times New Roman" w:cs="Times New Roman"/>
          <w:sz w:val="24"/>
          <w:szCs w:val="24"/>
        </w:rPr>
        <w:t>:</w:t>
      </w:r>
      <w:r w:rsidR="008F0928">
        <w:rPr>
          <w:rFonts w:ascii="Times New Roman" w:hAnsi="Times New Roman" w:cs="Times New Roman"/>
          <w:sz w:val="24"/>
          <w:szCs w:val="24"/>
        </w:rPr>
        <w:t xml:space="preserve"> </w:t>
      </w:r>
      <w:r w:rsidR="008F0928" w:rsidRPr="008F0928">
        <w:rPr>
          <w:rFonts w:ascii="Times New Roman" w:hAnsi="Times New Roman" w:cs="Times New Roman"/>
          <w:sz w:val="24"/>
          <w:szCs w:val="24"/>
        </w:rPr>
        <w:t>“</w:t>
      </w:r>
      <w:r w:rsidR="004841C3">
        <w:rPr>
          <w:rFonts w:ascii="Times New Roman" w:hAnsi="Times New Roman" w:cs="Times New Roman"/>
          <w:sz w:val="24"/>
          <w:szCs w:val="24"/>
        </w:rPr>
        <w:t>t</w:t>
      </w:r>
      <w:r w:rsidR="008F0928" w:rsidRPr="008F0928">
        <w:rPr>
          <w:rFonts w:ascii="Times New Roman" w:hAnsi="Times New Roman" w:cs="Times New Roman"/>
          <w:sz w:val="24"/>
          <w:szCs w:val="24"/>
        </w:rPr>
        <w:t xml:space="preserve">hey drove the giants whom they had discovered into caves in the mountains … They began to cultivate the fields and to build homes.” </w:t>
      </w:r>
      <w:r w:rsidR="006C6030" w:rsidRPr="008F0928">
        <w:rPr>
          <w:rStyle w:val="EndnoteReference"/>
          <w:rFonts w:ascii="Times New Roman" w:hAnsi="Times New Roman" w:cs="Times New Roman"/>
          <w:sz w:val="24"/>
          <w:szCs w:val="24"/>
        </w:rPr>
        <w:endnoteReference w:id="29"/>
      </w:r>
      <w:r w:rsidR="006C6030">
        <w:rPr>
          <w:rFonts w:ascii="Times New Roman" w:hAnsi="Times New Roman" w:cs="Times New Roman"/>
          <w:sz w:val="24"/>
          <w:szCs w:val="24"/>
        </w:rPr>
        <w:t xml:space="preserve"> </w:t>
      </w:r>
      <w:r w:rsidRPr="00AF6C85">
        <w:rPr>
          <w:rFonts w:ascii="Times New Roman" w:hAnsi="Times New Roman" w:cs="Times New Roman"/>
          <w:sz w:val="24"/>
          <w:szCs w:val="24"/>
        </w:rPr>
        <w:t>The Saxon arrival in England was also rep</w:t>
      </w:r>
      <w:r w:rsidR="004841C3">
        <w:rPr>
          <w:rFonts w:ascii="Times New Roman" w:hAnsi="Times New Roman" w:cs="Times New Roman"/>
          <w:sz w:val="24"/>
          <w:szCs w:val="24"/>
        </w:rPr>
        <w:t xml:space="preserve">resented as </w:t>
      </w:r>
      <w:r w:rsidR="00B950C8">
        <w:rPr>
          <w:rFonts w:ascii="Times New Roman" w:hAnsi="Times New Roman" w:cs="Times New Roman"/>
          <w:sz w:val="24"/>
          <w:szCs w:val="24"/>
        </w:rPr>
        <w:t>settler colonists</w:t>
      </w:r>
      <w:r w:rsidR="004841C3">
        <w:rPr>
          <w:rFonts w:ascii="Times New Roman" w:hAnsi="Times New Roman" w:cs="Times New Roman"/>
          <w:sz w:val="24"/>
          <w:szCs w:val="24"/>
        </w:rPr>
        <w:t>.</w:t>
      </w:r>
      <w:r>
        <w:rPr>
          <w:rFonts w:ascii="Times New Roman" w:hAnsi="Times New Roman" w:cs="Times New Roman"/>
          <w:sz w:val="24"/>
          <w:szCs w:val="24"/>
        </w:rPr>
        <w:t xml:space="preserve"> </w:t>
      </w:r>
      <w:r w:rsidR="004841C3">
        <w:rPr>
          <w:rFonts w:ascii="Times New Roman" w:hAnsi="Times New Roman" w:cs="Times New Roman"/>
          <w:sz w:val="24"/>
          <w:szCs w:val="24"/>
        </w:rPr>
        <w:t>A</w:t>
      </w:r>
      <w:r>
        <w:rPr>
          <w:rFonts w:ascii="Times New Roman" w:hAnsi="Times New Roman" w:cs="Times New Roman"/>
          <w:sz w:val="24"/>
          <w:szCs w:val="24"/>
        </w:rPr>
        <w:t>cc</w:t>
      </w:r>
      <w:r w:rsidR="004841C3">
        <w:rPr>
          <w:rFonts w:ascii="Times New Roman" w:hAnsi="Times New Roman" w:cs="Times New Roman"/>
          <w:sz w:val="24"/>
          <w:szCs w:val="24"/>
        </w:rPr>
        <w:t>ording to Geoffrey of Monmouth</w:t>
      </w:r>
      <w:r w:rsidRPr="00AF6C85">
        <w:rPr>
          <w:rFonts w:ascii="Times New Roman" w:hAnsi="Times New Roman" w:cs="Times New Roman"/>
          <w:sz w:val="24"/>
          <w:szCs w:val="24"/>
        </w:rPr>
        <w:t xml:space="preserve"> </w:t>
      </w:r>
      <w:r w:rsidR="004841C3">
        <w:rPr>
          <w:rFonts w:ascii="Times New Roman" w:hAnsi="Times New Roman" w:cs="Times New Roman"/>
          <w:sz w:val="24"/>
          <w:szCs w:val="24"/>
        </w:rPr>
        <w:t>most of the British</w:t>
      </w:r>
      <w:r w:rsidRPr="00AF6C85">
        <w:rPr>
          <w:rFonts w:ascii="Times New Roman" w:hAnsi="Times New Roman" w:cs="Times New Roman"/>
          <w:sz w:val="24"/>
          <w:szCs w:val="24"/>
        </w:rPr>
        <w:t xml:space="preserve"> were</w:t>
      </w:r>
      <w:r w:rsidR="004841C3">
        <w:rPr>
          <w:rFonts w:ascii="Times New Roman" w:hAnsi="Times New Roman" w:cs="Times New Roman"/>
          <w:sz w:val="24"/>
          <w:szCs w:val="24"/>
        </w:rPr>
        <w:t xml:space="preserve"> killed or dispossessed and</w:t>
      </w:r>
      <w:r w:rsidRPr="00AF6C85">
        <w:rPr>
          <w:rFonts w:ascii="Times New Roman" w:hAnsi="Times New Roman" w:cs="Times New Roman"/>
          <w:sz w:val="24"/>
          <w:szCs w:val="24"/>
        </w:rPr>
        <w:t xml:space="preserve"> driven to “living precarious</w:t>
      </w:r>
      <w:r w:rsidR="004841C3">
        <w:rPr>
          <w:rFonts w:ascii="Times New Roman" w:hAnsi="Times New Roman" w:cs="Times New Roman"/>
          <w:sz w:val="24"/>
          <w:szCs w:val="24"/>
        </w:rPr>
        <w:t>ly</w:t>
      </w:r>
      <w:r w:rsidRPr="00AF6C85">
        <w:rPr>
          <w:rFonts w:ascii="Times New Roman" w:hAnsi="Times New Roman" w:cs="Times New Roman"/>
          <w:sz w:val="24"/>
          <w:szCs w:val="24"/>
        </w:rPr>
        <w:t xml:space="preserve"> in Wales, in the remote recesses of the woods” by the Saxons and Angles who multiplied,</w:t>
      </w:r>
      <w:r w:rsidRPr="00AF6C85">
        <w:rPr>
          <w:rStyle w:val="EndnoteReference"/>
          <w:rFonts w:ascii="Times New Roman" w:hAnsi="Times New Roman" w:cs="Times New Roman"/>
          <w:sz w:val="24"/>
          <w:szCs w:val="24"/>
        </w:rPr>
        <w:endnoteReference w:id="30"/>
      </w:r>
      <w:r w:rsidRPr="00AF6C85">
        <w:rPr>
          <w:rFonts w:ascii="Times New Roman" w:hAnsi="Times New Roman" w:cs="Times New Roman"/>
          <w:sz w:val="24"/>
          <w:szCs w:val="24"/>
        </w:rPr>
        <w:t xml:space="preserve"> “cultivated the fields and re-built the cities and castles,”</w:t>
      </w:r>
      <w:r>
        <w:rPr>
          <w:rStyle w:val="EndnoteReference"/>
          <w:rFonts w:ascii="Times New Roman" w:hAnsi="Times New Roman" w:cs="Times New Roman"/>
          <w:sz w:val="24"/>
          <w:szCs w:val="24"/>
        </w:rPr>
        <w:endnoteReference w:id="31"/>
      </w:r>
      <w:r w:rsidRPr="00AF6C85">
        <w:rPr>
          <w:rFonts w:ascii="Times New Roman" w:hAnsi="Times New Roman" w:cs="Times New Roman"/>
          <w:sz w:val="24"/>
          <w:szCs w:val="24"/>
        </w:rPr>
        <w:t xml:space="preserve"> and renamed the land England. The Romans and Danes, meanwhile, were constructed as imperial powers that seized power by force and took control of resources without supplanting the existing population. </w:t>
      </w:r>
    </w:p>
    <w:p w14:paraId="43F592E8" w14:textId="77777777" w:rsidR="00892F20" w:rsidRPr="00AF6C85" w:rsidRDefault="00892F20" w:rsidP="002C6566">
      <w:pPr>
        <w:spacing w:line="480" w:lineRule="auto"/>
        <w:rPr>
          <w:rFonts w:ascii="Times New Roman" w:hAnsi="Times New Roman" w:cs="Times New Roman"/>
          <w:sz w:val="24"/>
          <w:szCs w:val="24"/>
        </w:rPr>
      </w:pPr>
    </w:p>
    <w:p w14:paraId="19350925" w14:textId="4A831197" w:rsidR="00892F20" w:rsidRDefault="00892F20" w:rsidP="00CF74B8">
      <w:pPr>
        <w:spacing w:line="480" w:lineRule="auto"/>
        <w:rPr>
          <w:rFonts w:ascii="Times New Roman" w:hAnsi="Times New Roman" w:cs="Times New Roman"/>
          <w:sz w:val="24"/>
          <w:szCs w:val="24"/>
        </w:rPr>
      </w:pPr>
      <w:r w:rsidRPr="00AF6C85">
        <w:rPr>
          <w:rFonts w:ascii="Times New Roman" w:hAnsi="Times New Roman" w:cs="Times New Roman"/>
          <w:sz w:val="24"/>
          <w:szCs w:val="24"/>
        </w:rPr>
        <w:t xml:space="preserve">God’s will was invoked to explain the successive conquests and colonisations of Britain in the medieval era: Henry of Huntingdon ascribed the five waves of colonisation </w:t>
      </w:r>
      <w:r>
        <w:rPr>
          <w:rFonts w:ascii="Times New Roman" w:hAnsi="Times New Roman" w:cs="Times New Roman"/>
          <w:sz w:val="24"/>
          <w:szCs w:val="24"/>
        </w:rPr>
        <w:t>a</w:t>
      </w:r>
      <w:r w:rsidRPr="00AF6C85">
        <w:rPr>
          <w:rFonts w:ascii="Times New Roman" w:hAnsi="Times New Roman" w:cs="Times New Roman"/>
          <w:sz w:val="24"/>
          <w:szCs w:val="24"/>
        </w:rPr>
        <w:t>nd conquest to “divine</w:t>
      </w:r>
      <w:r>
        <w:rPr>
          <w:rFonts w:ascii="Times New Roman" w:hAnsi="Times New Roman" w:cs="Times New Roman"/>
          <w:sz w:val="24"/>
          <w:szCs w:val="24"/>
        </w:rPr>
        <w:t xml:space="preserve"> vengeance</w:t>
      </w:r>
      <w:r w:rsidRPr="00AF6C85">
        <w:rPr>
          <w:rFonts w:ascii="Times New Roman" w:hAnsi="Times New Roman" w:cs="Times New Roman"/>
          <w:sz w:val="24"/>
          <w:szCs w:val="24"/>
        </w:rPr>
        <w:t>”</w:t>
      </w:r>
      <w:r>
        <w:rPr>
          <w:rFonts w:ascii="Times New Roman" w:hAnsi="Times New Roman" w:cs="Times New Roman"/>
          <w:sz w:val="24"/>
          <w:szCs w:val="24"/>
        </w:rPr>
        <w:t xml:space="preserve"> for sin.</w:t>
      </w:r>
      <w:r w:rsidRPr="00AF6C85">
        <w:rPr>
          <w:rStyle w:val="EndnoteReference"/>
          <w:rFonts w:ascii="Times New Roman" w:hAnsi="Times New Roman" w:cs="Times New Roman"/>
          <w:sz w:val="24"/>
          <w:szCs w:val="24"/>
        </w:rPr>
        <w:endnoteReference w:id="32"/>
      </w:r>
      <w:r w:rsidRPr="00AF6C85">
        <w:rPr>
          <w:rFonts w:ascii="Times New Roman" w:hAnsi="Times New Roman" w:cs="Times New Roman"/>
          <w:sz w:val="24"/>
          <w:szCs w:val="24"/>
        </w:rPr>
        <w:t xml:space="preserve"> White patriarchal colonialism in the nineteenth and early twentieth centuries was </w:t>
      </w:r>
      <w:r w:rsidR="00FD7CB5">
        <w:rPr>
          <w:rFonts w:ascii="Times New Roman" w:hAnsi="Times New Roman" w:cs="Times New Roman"/>
          <w:sz w:val="24"/>
          <w:szCs w:val="24"/>
        </w:rPr>
        <w:t xml:space="preserve">likewise </w:t>
      </w:r>
      <w:r w:rsidRPr="00AF6C85">
        <w:rPr>
          <w:rFonts w:ascii="Times New Roman" w:hAnsi="Times New Roman" w:cs="Times New Roman"/>
          <w:sz w:val="24"/>
          <w:szCs w:val="24"/>
        </w:rPr>
        <w:t xml:space="preserve">often framed in religious terms. For example, Richard Howitt, who referred to himself as a “white man” and “English” wrote in 1845: </w:t>
      </w:r>
    </w:p>
    <w:p w14:paraId="1589A03B" w14:textId="217923BF" w:rsidR="00892F20" w:rsidRDefault="00892F20" w:rsidP="00CF74B8">
      <w:pPr>
        <w:spacing w:line="480" w:lineRule="auto"/>
        <w:ind w:left="567"/>
        <w:rPr>
          <w:rFonts w:ascii="Times New Roman" w:hAnsi="Times New Roman" w:cs="Times New Roman"/>
          <w:sz w:val="24"/>
          <w:szCs w:val="24"/>
        </w:rPr>
      </w:pPr>
      <w:r w:rsidRPr="00AF6C85">
        <w:rPr>
          <w:rFonts w:ascii="Times New Roman" w:hAnsi="Times New Roman" w:cs="Times New Roman"/>
          <w:sz w:val="24"/>
          <w:szCs w:val="24"/>
        </w:rPr>
        <w:t xml:space="preserve">No nation can boast such an honest ancestry as we: our colonising is of the blood … We have the right blood in our veins; Roman, Danish, Saxon, and Norman; and nobody will dispute our title to one half of the globe … the aborigines … have reversed God’s </w:t>
      </w:r>
      <w:r w:rsidRPr="00AF6C85">
        <w:rPr>
          <w:rFonts w:ascii="Times New Roman" w:hAnsi="Times New Roman" w:cs="Times New Roman"/>
          <w:sz w:val="24"/>
          <w:szCs w:val="24"/>
        </w:rPr>
        <w:lastRenderedPageBreak/>
        <w:t xml:space="preserve">command to ‘increase and multiply.’ They are decreasing naturally, and thus have no right to the land. Nobody will dispute our title in this particular; </w:t>
      </w:r>
      <w:r w:rsidRPr="00AF6C85">
        <w:rPr>
          <w:rFonts w:ascii="Times New Roman" w:hAnsi="Times New Roman" w:cs="Times New Roman"/>
          <w:i/>
          <w:sz w:val="24"/>
          <w:szCs w:val="24"/>
        </w:rPr>
        <w:t>we</w:t>
      </w:r>
      <w:r w:rsidRPr="00AF6C85">
        <w:rPr>
          <w:rFonts w:ascii="Times New Roman" w:hAnsi="Times New Roman" w:cs="Times New Roman"/>
          <w:sz w:val="24"/>
          <w:szCs w:val="24"/>
        </w:rPr>
        <w:t xml:space="preserve"> are not decreas</w:t>
      </w:r>
      <w:r>
        <w:rPr>
          <w:rFonts w:ascii="Times New Roman" w:hAnsi="Times New Roman" w:cs="Times New Roman"/>
          <w:sz w:val="24"/>
          <w:szCs w:val="24"/>
        </w:rPr>
        <w:t>ing.</w:t>
      </w:r>
      <w:r>
        <w:rPr>
          <w:rStyle w:val="EndnoteReference"/>
          <w:rFonts w:ascii="Times New Roman" w:hAnsi="Times New Roman" w:cs="Times New Roman"/>
          <w:sz w:val="24"/>
          <w:szCs w:val="24"/>
        </w:rPr>
        <w:endnoteReference w:id="33"/>
      </w:r>
      <w:r w:rsidRPr="00AF6C85">
        <w:rPr>
          <w:rFonts w:ascii="Times New Roman" w:hAnsi="Times New Roman" w:cs="Times New Roman"/>
          <w:sz w:val="24"/>
          <w:szCs w:val="24"/>
        </w:rPr>
        <w:t xml:space="preserve"> </w:t>
      </w:r>
    </w:p>
    <w:p w14:paraId="1F9A17D1" w14:textId="358A5B49" w:rsidR="00892F20" w:rsidRPr="00AF6C85" w:rsidRDefault="00892F20" w:rsidP="002C6566">
      <w:pPr>
        <w:spacing w:line="480" w:lineRule="auto"/>
        <w:rPr>
          <w:rFonts w:ascii="Times New Roman" w:hAnsi="Times New Roman" w:cs="Times New Roman"/>
          <w:sz w:val="24"/>
          <w:szCs w:val="24"/>
        </w:rPr>
      </w:pPr>
      <w:r w:rsidRPr="00AF6C85">
        <w:rPr>
          <w:rFonts w:ascii="Times New Roman" w:hAnsi="Times New Roman" w:cs="Times New Roman"/>
          <w:sz w:val="24"/>
          <w:szCs w:val="24"/>
        </w:rPr>
        <w:t>Possessive logics</w:t>
      </w:r>
      <w:r w:rsidR="00FD7CB5">
        <w:rPr>
          <w:rFonts w:ascii="Times New Roman" w:hAnsi="Times New Roman" w:cs="Times New Roman"/>
          <w:sz w:val="24"/>
          <w:szCs w:val="24"/>
        </w:rPr>
        <w:t>, as theorised by Moreton-Robinson</w:t>
      </w:r>
      <w:r w:rsidRPr="00AF6C85">
        <w:rPr>
          <w:rFonts w:ascii="Times New Roman" w:hAnsi="Times New Roman" w:cs="Times New Roman"/>
          <w:sz w:val="24"/>
          <w:szCs w:val="24"/>
        </w:rPr>
        <w:t>,</w:t>
      </w:r>
      <w:r w:rsidR="00FD7CB5">
        <w:rPr>
          <w:rStyle w:val="EndnoteReference"/>
          <w:rFonts w:ascii="Times New Roman" w:hAnsi="Times New Roman" w:cs="Times New Roman"/>
          <w:sz w:val="24"/>
          <w:szCs w:val="24"/>
        </w:rPr>
        <w:endnoteReference w:id="34"/>
      </w:r>
      <w:r w:rsidRPr="00AF6C85">
        <w:rPr>
          <w:rFonts w:ascii="Times New Roman" w:hAnsi="Times New Roman" w:cs="Times New Roman"/>
          <w:sz w:val="24"/>
          <w:szCs w:val="24"/>
        </w:rPr>
        <w:t xml:space="preserve"> </w:t>
      </w:r>
      <w:r w:rsidR="00A20E21">
        <w:rPr>
          <w:rFonts w:ascii="Times New Roman" w:hAnsi="Times New Roman" w:cs="Times New Roman"/>
          <w:sz w:val="24"/>
          <w:szCs w:val="24"/>
        </w:rPr>
        <w:t xml:space="preserve">shape </w:t>
      </w:r>
      <w:r w:rsidRPr="00AF6C85">
        <w:rPr>
          <w:rFonts w:ascii="Times New Roman" w:hAnsi="Times New Roman" w:cs="Times New Roman"/>
          <w:sz w:val="24"/>
          <w:szCs w:val="24"/>
        </w:rPr>
        <w:t>mediev</w:t>
      </w:r>
      <w:r w:rsidR="004841C3">
        <w:rPr>
          <w:rFonts w:ascii="Times New Roman" w:hAnsi="Times New Roman" w:cs="Times New Roman"/>
          <w:sz w:val="24"/>
          <w:szCs w:val="24"/>
        </w:rPr>
        <w:t>al historiography</w:t>
      </w:r>
      <w:r w:rsidR="00A20E21">
        <w:rPr>
          <w:rFonts w:ascii="Times New Roman" w:hAnsi="Times New Roman" w:cs="Times New Roman"/>
          <w:sz w:val="24"/>
          <w:szCs w:val="24"/>
        </w:rPr>
        <w:t>; it</w:t>
      </w:r>
      <w:r w:rsidR="00FD7CB5">
        <w:rPr>
          <w:rFonts w:ascii="Times New Roman" w:hAnsi="Times New Roman" w:cs="Times New Roman"/>
          <w:sz w:val="24"/>
          <w:szCs w:val="24"/>
        </w:rPr>
        <w:t xml:space="preserve"> </w:t>
      </w:r>
      <w:r w:rsidRPr="00AF6C85">
        <w:rPr>
          <w:rFonts w:ascii="Times New Roman" w:hAnsi="Times New Roman" w:cs="Times New Roman"/>
          <w:sz w:val="24"/>
          <w:szCs w:val="24"/>
        </w:rPr>
        <w:t>provide</w:t>
      </w:r>
      <w:r w:rsidR="00A20E21">
        <w:rPr>
          <w:rFonts w:ascii="Times New Roman" w:hAnsi="Times New Roman" w:cs="Times New Roman"/>
          <w:sz w:val="24"/>
          <w:szCs w:val="24"/>
        </w:rPr>
        <w:t>s</w:t>
      </w:r>
      <w:r w:rsidRPr="00AF6C85">
        <w:rPr>
          <w:rFonts w:ascii="Times New Roman" w:hAnsi="Times New Roman" w:cs="Times New Roman"/>
          <w:sz w:val="24"/>
          <w:szCs w:val="24"/>
        </w:rPr>
        <w:t xml:space="preserve"> a</w:t>
      </w:r>
      <w:r w:rsidR="00A20E21">
        <w:rPr>
          <w:rFonts w:ascii="Times New Roman" w:hAnsi="Times New Roman" w:cs="Times New Roman"/>
          <w:sz w:val="24"/>
          <w:szCs w:val="24"/>
        </w:rPr>
        <w:t xml:space="preserve"> </w:t>
      </w:r>
      <w:r w:rsidRPr="00AF6C85">
        <w:rPr>
          <w:rFonts w:ascii="Times New Roman" w:hAnsi="Times New Roman" w:cs="Times New Roman"/>
          <w:sz w:val="24"/>
          <w:szCs w:val="24"/>
        </w:rPr>
        <w:t>cultural ar</w:t>
      </w:r>
      <w:r>
        <w:rPr>
          <w:rFonts w:ascii="Times New Roman" w:hAnsi="Times New Roman" w:cs="Times New Roman"/>
          <w:sz w:val="24"/>
          <w:szCs w:val="24"/>
        </w:rPr>
        <w:t xml:space="preserve">chive of colonialist practices </w:t>
      </w:r>
      <w:r w:rsidRPr="00AF6C85">
        <w:rPr>
          <w:rFonts w:ascii="Times New Roman" w:hAnsi="Times New Roman" w:cs="Times New Roman"/>
          <w:sz w:val="24"/>
          <w:szCs w:val="24"/>
        </w:rPr>
        <w:t>and justificati</w:t>
      </w:r>
      <w:r>
        <w:rPr>
          <w:rFonts w:ascii="Times New Roman" w:hAnsi="Times New Roman" w:cs="Times New Roman"/>
          <w:sz w:val="24"/>
          <w:szCs w:val="24"/>
        </w:rPr>
        <w:t xml:space="preserve">ons on which </w:t>
      </w:r>
      <w:r w:rsidR="00CF464D">
        <w:rPr>
          <w:rFonts w:ascii="Times New Roman" w:hAnsi="Times New Roman" w:cs="Times New Roman"/>
          <w:sz w:val="24"/>
          <w:szCs w:val="24"/>
        </w:rPr>
        <w:t>the British empire and modern</w:t>
      </w:r>
      <w:r>
        <w:rPr>
          <w:rFonts w:ascii="Times New Roman" w:hAnsi="Times New Roman" w:cs="Times New Roman"/>
          <w:sz w:val="24"/>
          <w:szCs w:val="24"/>
        </w:rPr>
        <w:t xml:space="preserve"> </w:t>
      </w:r>
      <w:r w:rsidRPr="00AF6C85">
        <w:rPr>
          <w:rFonts w:ascii="Times New Roman" w:hAnsi="Times New Roman" w:cs="Times New Roman"/>
          <w:sz w:val="24"/>
          <w:szCs w:val="24"/>
        </w:rPr>
        <w:t>settler colonial nation</w:t>
      </w:r>
      <w:r>
        <w:rPr>
          <w:rFonts w:ascii="Times New Roman" w:hAnsi="Times New Roman" w:cs="Times New Roman"/>
          <w:sz w:val="24"/>
          <w:szCs w:val="24"/>
        </w:rPr>
        <w:t>-</w:t>
      </w:r>
      <w:r w:rsidRPr="00AF6C85">
        <w:rPr>
          <w:rFonts w:ascii="Times New Roman" w:hAnsi="Times New Roman" w:cs="Times New Roman"/>
          <w:sz w:val="24"/>
          <w:szCs w:val="24"/>
        </w:rPr>
        <w:t>s</w:t>
      </w:r>
      <w:r>
        <w:rPr>
          <w:rFonts w:ascii="Times New Roman" w:hAnsi="Times New Roman" w:cs="Times New Roman"/>
          <w:sz w:val="24"/>
          <w:szCs w:val="24"/>
        </w:rPr>
        <w:t>tates</w:t>
      </w:r>
      <w:r w:rsidRPr="00AF6C85">
        <w:rPr>
          <w:rFonts w:ascii="Times New Roman" w:hAnsi="Times New Roman" w:cs="Times New Roman"/>
          <w:sz w:val="24"/>
          <w:szCs w:val="24"/>
        </w:rPr>
        <w:t xml:space="preserve"> could and can draw</w:t>
      </w:r>
      <w:r w:rsidR="00CF464D">
        <w:rPr>
          <w:rFonts w:ascii="Times New Roman" w:hAnsi="Times New Roman" w:cs="Times New Roman"/>
          <w:sz w:val="24"/>
          <w:szCs w:val="24"/>
        </w:rPr>
        <w:t xml:space="preserve"> to construct teleological temporalities that justify their violent dispossessions of Indigenous peoples</w:t>
      </w:r>
      <w:r w:rsidRPr="00AF6C85">
        <w:rPr>
          <w:rFonts w:ascii="Times New Roman" w:hAnsi="Times New Roman" w:cs="Times New Roman"/>
          <w:sz w:val="24"/>
          <w:szCs w:val="24"/>
        </w:rPr>
        <w:t>.</w:t>
      </w:r>
    </w:p>
    <w:p w14:paraId="122C700F" w14:textId="5103E382" w:rsidR="00892F20" w:rsidRDefault="00892F20" w:rsidP="002C6566">
      <w:pPr>
        <w:spacing w:line="480" w:lineRule="auto"/>
        <w:rPr>
          <w:rFonts w:ascii="Times New Roman" w:hAnsi="Times New Roman" w:cs="Times New Roman"/>
          <w:sz w:val="24"/>
          <w:szCs w:val="24"/>
        </w:rPr>
      </w:pPr>
    </w:p>
    <w:p w14:paraId="17EBB329" w14:textId="2C1EB826" w:rsidR="001A0F3F" w:rsidRPr="000B5DEF" w:rsidRDefault="001A0F3F" w:rsidP="001A0F3F">
      <w:pPr>
        <w:spacing w:line="480" w:lineRule="auto"/>
        <w:rPr>
          <w:rFonts w:ascii="Times New Roman" w:hAnsi="Times New Roman" w:cs="Times New Roman"/>
          <w:b/>
          <w:sz w:val="24"/>
          <w:szCs w:val="24"/>
        </w:rPr>
      </w:pPr>
      <w:r>
        <w:rPr>
          <w:rFonts w:ascii="Times New Roman" w:hAnsi="Times New Roman" w:cs="Times New Roman"/>
          <w:sz w:val="24"/>
          <w:szCs w:val="24"/>
        </w:rPr>
        <w:t>M</w:t>
      </w:r>
      <w:r w:rsidRPr="00AF6C85">
        <w:rPr>
          <w:rFonts w:ascii="Times New Roman" w:hAnsi="Times New Roman" w:cs="Times New Roman"/>
          <w:sz w:val="24"/>
          <w:szCs w:val="24"/>
        </w:rPr>
        <w:t xml:space="preserve">edieval origins of legal principles, particularly </w:t>
      </w:r>
      <w:r>
        <w:rPr>
          <w:rFonts w:ascii="Times New Roman" w:hAnsi="Times New Roman" w:cs="Times New Roman"/>
          <w:sz w:val="24"/>
          <w:szCs w:val="24"/>
        </w:rPr>
        <w:t xml:space="preserve">although not exclusively, </w:t>
      </w:r>
      <w:r w:rsidRPr="00AF6C85">
        <w:rPr>
          <w:rFonts w:ascii="Times New Roman" w:hAnsi="Times New Roman" w:cs="Times New Roman"/>
          <w:sz w:val="24"/>
          <w:szCs w:val="24"/>
        </w:rPr>
        <w:t>the Catholic ‘doctrine of discovery,’ were deployed in European colonial</w:t>
      </w:r>
      <w:r>
        <w:rPr>
          <w:rFonts w:ascii="Times New Roman" w:hAnsi="Times New Roman" w:cs="Times New Roman"/>
          <w:sz w:val="24"/>
          <w:szCs w:val="24"/>
        </w:rPr>
        <w:t xml:space="preserve"> and imperial</w:t>
      </w:r>
      <w:r w:rsidRPr="00AF6C85">
        <w:rPr>
          <w:rFonts w:ascii="Times New Roman" w:hAnsi="Times New Roman" w:cs="Times New Roman"/>
          <w:sz w:val="24"/>
          <w:szCs w:val="24"/>
        </w:rPr>
        <w:t xml:space="preserve"> expansion to justify acquisition and manage in ongoing ways the sovereignty, rights and lives of Indigenous peoples</w:t>
      </w:r>
      <w:r>
        <w:rPr>
          <w:rFonts w:ascii="Times New Roman" w:hAnsi="Times New Roman" w:cs="Times New Roman"/>
          <w:sz w:val="24"/>
          <w:szCs w:val="24"/>
        </w:rPr>
        <w:t xml:space="preserve"> around the globe</w:t>
      </w:r>
      <w:r w:rsidRPr="00AF6C85">
        <w:rPr>
          <w:rFonts w:ascii="Times New Roman" w:hAnsi="Times New Roman" w:cs="Times New Roman"/>
          <w:sz w:val="24"/>
          <w:szCs w:val="24"/>
        </w:rPr>
        <w:t>.</w:t>
      </w:r>
      <w:r w:rsidRPr="00AF6C85">
        <w:rPr>
          <w:rStyle w:val="EndnoteReference"/>
          <w:rFonts w:ascii="Times New Roman" w:hAnsi="Times New Roman" w:cs="Times New Roman"/>
          <w:sz w:val="24"/>
          <w:szCs w:val="24"/>
        </w:rPr>
        <w:endnoteReference w:id="35"/>
      </w:r>
      <w:r w:rsidRPr="00AF6C85">
        <w:rPr>
          <w:rFonts w:ascii="Times New Roman" w:hAnsi="Times New Roman" w:cs="Times New Roman"/>
          <w:sz w:val="24"/>
          <w:szCs w:val="24"/>
        </w:rPr>
        <w:t xml:space="preserve"> The application of English common law in Australia meant that native title claims hinged, in part, on medieval practices and medievalist accounts and interpretations of them. Colonial courts in nineteenth-century New South Wales relied heavi</w:t>
      </w:r>
      <w:r w:rsidR="008F0928">
        <w:rPr>
          <w:rFonts w:ascii="Times New Roman" w:hAnsi="Times New Roman" w:cs="Times New Roman"/>
          <w:sz w:val="24"/>
          <w:szCs w:val="24"/>
        </w:rPr>
        <w:t>ly on Sir William Blackstone’s</w:t>
      </w:r>
      <w:r w:rsidRPr="00AF6C85">
        <w:rPr>
          <w:rFonts w:ascii="Times New Roman" w:hAnsi="Times New Roman" w:cs="Times New Roman"/>
          <w:sz w:val="24"/>
          <w:szCs w:val="24"/>
        </w:rPr>
        <w:t xml:space="preserve"> </w:t>
      </w:r>
      <w:r w:rsidRPr="00AF6C85">
        <w:rPr>
          <w:rFonts w:ascii="Times New Roman" w:hAnsi="Times New Roman" w:cs="Times New Roman"/>
          <w:i/>
          <w:sz w:val="24"/>
          <w:szCs w:val="24"/>
        </w:rPr>
        <w:t xml:space="preserve">Commentaries on the Laws of England </w:t>
      </w:r>
      <w:r w:rsidRPr="00AF6C85">
        <w:rPr>
          <w:rFonts w:ascii="Times New Roman" w:hAnsi="Times New Roman" w:cs="Times New Roman"/>
          <w:sz w:val="24"/>
          <w:szCs w:val="24"/>
        </w:rPr>
        <w:t>(1765-1770)</w:t>
      </w:r>
      <w:r w:rsidRPr="00AF6C85">
        <w:rPr>
          <w:rFonts w:ascii="Times New Roman" w:hAnsi="Times New Roman" w:cs="Times New Roman"/>
          <w:b/>
          <w:sz w:val="24"/>
          <w:szCs w:val="24"/>
        </w:rPr>
        <w:t xml:space="preserve"> </w:t>
      </w:r>
      <w:r w:rsidRPr="00AF6C85">
        <w:rPr>
          <w:rFonts w:ascii="Times New Roman" w:hAnsi="Times New Roman" w:cs="Times New Roman"/>
          <w:sz w:val="24"/>
          <w:szCs w:val="24"/>
        </w:rPr>
        <w:t xml:space="preserve">including </w:t>
      </w:r>
      <w:r w:rsidR="0070149B">
        <w:rPr>
          <w:rFonts w:ascii="Times New Roman" w:hAnsi="Times New Roman" w:cs="Times New Roman"/>
          <w:sz w:val="24"/>
          <w:szCs w:val="24"/>
        </w:rPr>
        <w:t xml:space="preserve">by </w:t>
      </w:r>
      <w:r w:rsidRPr="00AF6C85">
        <w:rPr>
          <w:rFonts w:ascii="Times New Roman" w:hAnsi="Times New Roman" w:cs="Times New Roman"/>
          <w:sz w:val="24"/>
          <w:szCs w:val="24"/>
        </w:rPr>
        <w:t>using his “feudal proposition justifying British land colonisation.”</w:t>
      </w:r>
      <w:r w:rsidRPr="00AF6C85">
        <w:rPr>
          <w:rStyle w:val="EndnoteReference"/>
          <w:rFonts w:ascii="Times New Roman" w:hAnsi="Times New Roman" w:cs="Times New Roman"/>
          <w:sz w:val="24"/>
          <w:szCs w:val="24"/>
        </w:rPr>
        <w:endnoteReference w:id="36"/>
      </w:r>
      <w:r w:rsidRPr="00AF6C85">
        <w:rPr>
          <w:rFonts w:ascii="Times New Roman" w:hAnsi="Times New Roman" w:cs="Times New Roman"/>
          <w:sz w:val="24"/>
          <w:szCs w:val="24"/>
        </w:rPr>
        <w:t xml:space="preserve"> Blackstone wrote that British sovereignty could be established in colonies “where the lands are claimed by right of occupancy only, by finding them desert and uncultivated, and peopling them from the mother country; or where, when already cultivated, they have either gained, by conquest, or ceded to us by treaties;”</w:t>
      </w:r>
      <w:r w:rsidRPr="00AF6C85">
        <w:rPr>
          <w:rStyle w:val="EndnoteReference"/>
          <w:rFonts w:ascii="Times New Roman" w:hAnsi="Times New Roman" w:cs="Times New Roman"/>
          <w:sz w:val="24"/>
          <w:szCs w:val="24"/>
        </w:rPr>
        <w:endnoteReference w:id="37"/>
      </w:r>
      <w:r w:rsidRPr="00AF6C85">
        <w:rPr>
          <w:rFonts w:ascii="Times New Roman" w:hAnsi="Times New Roman" w:cs="Times New Roman"/>
          <w:sz w:val="24"/>
          <w:szCs w:val="24"/>
        </w:rPr>
        <w:t xml:space="preserve"> the first of these was used as a legal basis for </w:t>
      </w:r>
      <w:r w:rsidRPr="00AF6C85">
        <w:rPr>
          <w:rFonts w:ascii="Times New Roman" w:hAnsi="Times New Roman" w:cs="Times New Roman"/>
          <w:i/>
          <w:sz w:val="24"/>
          <w:szCs w:val="24"/>
        </w:rPr>
        <w:t>terra nullius</w:t>
      </w:r>
      <w:r w:rsidRPr="00AF6C85">
        <w:rPr>
          <w:rFonts w:ascii="Times New Roman" w:hAnsi="Times New Roman" w:cs="Times New Roman"/>
          <w:sz w:val="24"/>
          <w:szCs w:val="24"/>
        </w:rPr>
        <w:t xml:space="preserve"> in the </w:t>
      </w:r>
      <w:r>
        <w:rPr>
          <w:rFonts w:ascii="Times New Roman" w:hAnsi="Times New Roman" w:cs="Times New Roman"/>
          <w:sz w:val="24"/>
          <w:szCs w:val="24"/>
        </w:rPr>
        <w:t xml:space="preserve">nineteenth-century </w:t>
      </w:r>
      <w:r w:rsidRPr="00AF6C85">
        <w:rPr>
          <w:rFonts w:ascii="Times New Roman" w:hAnsi="Times New Roman" w:cs="Times New Roman"/>
          <w:sz w:val="24"/>
          <w:szCs w:val="24"/>
        </w:rPr>
        <w:t>courts of the colony of New South Wales. Blackstone formulated a procedure for colonisation: “that the Crown acquires all land in the form of radical (or ultimate) title … [and] stated that this was akin to a feudal tenure, where the Crown held ultimate title but granted lands to the lords for productive use.”</w:t>
      </w:r>
      <w:r w:rsidRPr="00AF6C85">
        <w:rPr>
          <w:rStyle w:val="EndnoteReference"/>
          <w:rFonts w:ascii="Times New Roman" w:hAnsi="Times New Roman" w:cs="Times New Roman"/>
          <w:sz w:val="24"/>
          <w:szCs w:val="24"/>
        </w:rPr>
        <w:endnoteReference w:id="38"/>
      </w:r>
      <w:r w:rsidR="0018274E">
        <w:rPr>
          <w:rFonts w:ascii="Times New Roman" w:hAnsi="Times New Roman" w:cs="Times New Roman"/>
          <w:sz w:val="24"/>
          <w:szCs w:val="24"/>
        </w:rPr>
        <w:t xml:space="preserve"> For Blackstone,</w:t>
      </w:r>
      <w:r w:rsidR="002B5044">
        <w:rPr>
          <w:rFonts w:ascii="Times New Roman" w:hAnsi="Times New Roman" w:cs="Times New Roman"/>
          <w:sz w:val="24"/>
          <w:szCs w:val="24"/>
        </w:rPr>
        <w:t xml:space="preserve"> universal</w:t>
      </w:r>
      <w:r w:rsidR="0018274E">
        <w:rPr>
          <w:rFonts w:ascii="Times New Roman" w:hAnsi="Times New Roman" w:cs="Times New Roman"/>
          <w:sz w:val="24"/>
          <w:szCs w:val="24"/>
        </w:rPr>
        <w:t xml:space="preserve"> </w:t>
      </w:r>
      <w:r w:rsidR="0018274E">
        <w:rPr>
          <w:rFonts w:ascii="Times New Roman" w:hAnsi="Times New Roman" w:cs="Times New Roman"/>
          <w:sz w:val="24"/>
          <w:szCs w:val="24"/>
        </w:rPr>
        <w:lastRenderedPageBreak/>
        <w:t>Crown possession was a feature of the feudal system introduced to England by the Normans after the conquest as “a mere fiction,” a principle that enabled the system of government to function</w:t>
      </w:r>
      <w:r w:rsidR="002B5044">
        <w:rPr>
          <w:rFonts w:ascii="Times New Roman" w:hAnsi="Times New Roman" w:cs="Times New Roman"/>
          <w:sz w:val="24"/>
          <w:szCs w:val="24"/>
        </w:rPr>
        <w:t xml:space="preserve"> which was accepted in theory by the English then exploited by the Normans</w:t>
      </w:r>
      <w:r w:rsidR="0018274E">
        <w:rPr>
          <w:rFonts w:ascii="Times New Roman" w:hAnsi="Times New Roman" w:cs="Times New Roman"/>
          <w:sz w:val="24"/>
          <w:szCs w:val="24"/>
        </w:rPr>
        <w:t>.</w:t>
      </w:r>
      <w:r w:rsidR="0018274E">
        <w:rPr>
          <w:rStyle w:val="EndnoteReference"/>
          <w:rFonts w:ascii="Times New Roman" w:hAnsi="Times New Roman" w:cs="Times New Roman"/>
          <w:sz w:val="24"/>
          <w:szCs w:val="24"/>
        </w:rPr>
        <w:endnoteReference w:id="39"/>
      </w:r>
      <w:r w:rsidR="0018274E">
        <w:rPr>
          <w:rFonts w:ascii="Times New Roman" w:hAnsi="Times New Roman" w:cs="Times New Roman"/>
          <w:sz w:val="24"/>
          <w:szCs w:val="24"/>
        </w:rPr>
        <w:t xml:space="preserve"> </w:t>
      </w:r>
      <w:r w:rsidR="00F421FF">
        <w:rPr>
          <w:rFonts w:ascii="Times New Roman" w:hAnsi="Times New Roman" w:cs="Times New Roman"/>
          <w:sz w:val="24"/>
          <w:szCs w:val="24"/>
        </w:rPr>
        <w:t xml:space="preserve">Whatever the truth of Blackstone’s highly ideological and historically contextual claims, his account of the Norman Conquest and </w:t>
      </w:r>
      <w:r w:rsidR="00543D3E">
        <w:rPr>
          <w:rFonts w:ascii="Times New Roman" w:hAnsi="Times New Roman" w:cs="Times New Roman"/>
          <w:sz w:val="24"/>
          <w:szCs w:val="24"/>
        </w:rPr>
        <w:t xml:space="preserve">feudal law in England became </w:t>
      </w:r>
      <w:r w:rsidRPr="00AF6C85">
        <w:rPr>
          <w:rFonts w:ascii="Times New Roman" w:hAnsi="Times New Roman" w:cs="Times New Roman"/>
          <w:sz w:val="24"/>
          <w:szCs w:val="24"/>
        </w:rPr>
        <w:t xml:space="preserve">part of the </w:t>
      </w:r>
      <w:r w:rsidR="00543D3E">
        <w:rPr>
          <w:rFonts w:ascii="Times New Roman" w:hAnsi="Times New Roman" w:cs="Times New Roman"/>
          <w:sz w:val="24"/>
          <w:szCs w:val="24"/>
        </w:rPr>
        <w:t>British</w:t>
      </w:r>
      <w:r w:rsidRPr="00AF6C85">
        <w:rPr>
          <w:rFonts w:ascii="Times New Roman" w:hAnsi="Times New Roman" w:cs="Times New Roman"/>
          <w:sz w:val="24"/>
          <w:szCs w:val="24"/>
        </w:rPr>
        <w:t xml:space="preserve"> </w:t>
      </w:r>
      <w:r w:rsidR="00543D3E">
        <w:rPr>
          <w:rFonts w:ascii="Times New Roman" w:hAnsi="Times New Roman" w:cs="Times New Roman"/>
          <w:sz w:val="24"/>
          <w:szCs w:val="24"/>
        </w:rPr>
        <w:t>cultural archive and</w:t>
      </w:r>
      <w:r w:rsidR="002B5044">
        <w:rPr>
          <w:rFonts w:ascii="Times New Roman" w:hAnsi="Times New Roman" w:cs="Times New Roman"/>
          <w:sz w:val="24"/>
          <w:szCs w:val="24"/>
        </w:rPr>
        <w:t xml:space="preserve"> provided</w:t>
      </w:r>
      <w:r>
        <w:rPr>
          <w:rFonts w:ascii="Times New Roman" w:hAnsi="Times New Roman" w:cs="Times New Roman"/>
          <w:sz w:val="24"/>
          <w:szCs w:val="24"/>
        </w:rPr>
        <w:t xml:space="preserve"> a rationalization </w:t>
      </w:r>
      <w:r w:rsidRPr="00AF6C85">
        <w:rPr>
          <w:rFonts w:ascii="Times New Roman" w:hAnsi="Times New Roman" w:cs="Times New Roman"/>
          <w:sz w:val="24"/>
          <w:szCs w:val="24"/>
        </w:rPr>
        <w:t>for claim</w:t>
      </w:r>
      <w:r w:rsidR="00543D3E">
        <w:rPr>
          <w:rFonts w:ascii="Times New Roman" w:hAnsi="Times New Roman" w:cs="Times New Roman"/>
          <w:sz w:val="24"/>
          <w:szCs w:val="24"/>
        </w:rPr>
        <w:t>ing</w:t>
      </w:r>
      <w:r w:rsidRPr="00AF6C85">
        <w:rPr>
          <w:rFonts w:ascii="Times New Roman" w:hAnsi="Times New Roman" w:cs="Times New Roman"/>
          <w:sz w:val="24"/>
          <w:szCs w:val="24"/>
        </w:rPr>
        <w:t xml:space="preserve"> </w:t>
      </w:r>
      <w:r w:rsidR="00217E50">
        <w:rPr>
          <w:rFonts w:ascii="Times New Roman" w:hAnsi="Times New Roman" w:cs="Times New Roman"/>
          <w:sz w:val="24"/>
          <w:szCs w:val="24"/>
        </w:rPr>
        <w:t>sovereignty in the</w:t>
      </w:r>
      <w:r w:rsidRPr="00AF6C85">
        <w:rPr>
          <w:rFonts w:ascii="Times New Roman" w:hAnsi="Times New Roman" w:cs="Times New Roman"/>
          <w:sz w:val="24"/>
          <w:szCs w:val="24"/>
        </w:rPr>
        <w:t xml:space="preserve"> land</w:t>
      </w:r>
      <w:r w:rsidR="00217E50">
        <w:rPr>
          <w:rFonts w:ascii="Times New Roman" w:hAnsi="Times New Roman" w:cs="Times New Roman"/>
          <w:sz w:val="24"/>
          <w:szCs w:val="24"/>
        </w:rPr>
        <w:t>s</w:t>
      </w:r>
      <w:r w:rsidRPr="00AF6C85">
        <w:rPr>
          <w:rFonts w:ascii="Times New Roman" w:hAnsi="Times New Roman" w:cs="Times New Roman"/>
          <w:sz w:val="24"/>
          <w:szCs w:val="24"/>
        </w:rPr>
        <w:t xml:space="preserve"> now internati</w:t>
      </w:r>
      <w:r w:rsidR="00217E50">
        <w:rPr>
          <w:rFonts w:ascii="Times New Roman" w:hAnsi="Times New Roman" w:cs="Times New Roman"/>
          <w:sz w:val="24"/>
          <w:szCs w:val="24"/>
        </w:rPr>
        <w:t>onally known as Australia.</w:t>
      </w:r>
    </w:p>
    <w:p w14:paraId="1D3BE565" w14:textId="53D060FE" w:rsidR="001A0F3F" w:rsidRDefault="001A0F3F" w:rsidP="002C6566">
      <w:pPr>
        <w:spacing w:line="480" w:lineRule="auto"/>
        <w:rPr>
          <w:rFonts w:ascii="Times New Roman" w:hAnsi="Times New Roman" w:cs="Times New Roman"/>
          <w:sz w:val="24"/>
          <w:szCs w:val="24"/>
        </w:rPr>
      </w:pPr>
    </w:p>
    <w:p w14:paraId="7C25DE31" w14:textId="6C1D8129" w:rsidR="00FD7CB5" w:rsidRPr="00AF6C85" w:rsidRDefault="00FD7CB5" w:rsidP="002C6566">
      <w:pPr>
        <w:spacing w:line="480" w:lineRule="auto"/>
        <w:rPr>
          <w:rFonts w:ascii="Times New Roman" w:hAnsi="Times New Roman" w:cs="Times New Roman"/>
          <w:sz w:val="24"/>
          <w:szCs w:val="24"/>
        </w:rPr>
      </w:pPr>
      <w:r>
        <w:rPr>
          <w:rFonts w:ascii="Times New Roman" w:hAnsi="Times New Roman" w:cs="Times New Roman"/>
          <w:b/>
          <w:i/>
          <w:sz w:val="24"/>
          <w:szCs w:val="24"/>
        </w:rPr>
        <w:t xml:space="preserve">Medievalism in </w:t>
      </w:r>
      <w:r>
        <w:rPr>
          <w:rFonts w:ascii="Times New Roman" w:hAnsi="Times New Roman" w:cs="Times New Roman"/>
          <w:b/>
          <w:sz w:val="24"/>
          <w:szCs w:val="24"/>
        </w:rPr>
        <w:t>Mabo</w:t>
      </w:r>
    </w:p>
    <w:p w14:paraId="59D40548" w14:textId="6BB163A6" w:rsidR="007C16AA" w:rsidRDefault="00892F20" w:rsidP="007C16AA">
      <w:pPr>
        <w:spacing w:line="480" w:lineRule="auto"/>
        <w:rPr>
          <w:rFonts w:ascii="Times New Roman" w:hAnsi="Times New Roman" w:cs="Times New Roman"/>
          <w:sz w:val="24"/>
          <w:szCs w:val="24"/>
        </w:rPr>
      </w:pPr>
      <w:r w:rsidRPr="0035454E">
        <w:rPr>
          <w:rFonts w:ascii="Times New Roman" w:hAnsi="Times New Roman" w:cs="Times New Roman"/>
          <w:sz w:val="24"/>
          <w:szCs w:val="24"/>
        </w:rPr>
        <w:t>Medieval English practices are a shaping force in Indigenous futures through of settler colonial recognition – and non-recognition – of Indigenous sovereignty through legal precedents.</w:t>
      </w:r>
      <w:r w:rsidR="001A0F3F">
        <w:rPr>
          <w:rFonts w:ascii="Times New Roman" w:hAnsi="Times New Roman" w:cs="Times New Roman"/>
          <w:sz w:val="24"/>
          <w:szCs w:val="24"/>
        </w:rPr>
        <w:t xml:space="preserve"> </w:t>
      </w:r>
      <w:r w:rsidR="009F2EDF">
        <w:rPr>
          <w:rFonts w:ascii="Times New Roman" w:hAnsi="Times New Roman" w:cs="Times New Roman"/>
          <w:sz w:val="24"/>
          <w:szCs w:val="24"/>
        </w:rPr>
        <w:t xml:space="preserve">Five judgements were delivered by the Justices of the High Court of Australia in </w:t>
      </w:r>
      <w:r w:rsidR="009F2EDF">
        <w:rPr>
          <w:rFonts w:ascii="Times New Roman" w:hAnsi="Times New Roman" w:cs="Times New Roman"/>
          <w:i/>
          <w:sz w:val="24"/>
          <w:szCs w:val="24"/>
        </w:rPr>
        <w:t>Mabo</w:t>
      </w:r>
      <w:r w:rsidR="009F2EDF">
        <w:rPr>
          <w:rFonts w:ascii="Times New Roman" w:hAnsi="Times New Roman" w:cs="Times New Roman"/>
          <w:sz w:val="24"/>
          <w:szCs w:val="24"/>
        </w:rPr>
        <w:t xml:space="preserve">; medievalism is </w:t>
      </w:r>
      <w:r w:rsidR="00AB0598">
        <w:rPr>
          <w:rFonts w:ascii="Times New Roman" w:hAnsi="Times New Roman" w:cs="Times New Roman"/>
          <w:sz w:val="24"/>
          <w:szCs w:val="24"/>
        </w:rPr>
        <w:t>clearly apparent</w:t>
      </w:r>
      <w:r w:rsidR="009F2EDF">
        <w:rPr>
          <w:rFonts w:ascii="Times New Roman" w:hAnsi="Times New Roman" w:cs="Times New Roman"/>
          <w:sz w:val="24"/>
          <w:szCs w:val="24"/>
        </w:rPr>
        <w:t xml:space="preserve"> in those of Justice Brennan</w:t>
      </w:r>
      <w:r w:rsidR="00AB0598">
        <w:rPr>
          <w:rFonts w:ascii="Times New Roman" w:hAnsi="Times New Roman" w:cs="Times New Roman"/>
          <w:sz w:val="24"/>
          <w:szCs w:val="24"/>
        </w:rPr>
        <w:t xml:space="preserve"> (</w:t>
      </w:r>
      <w:r w:rsidR="00AB0598">
        <w:rPr>
          <w:rFonts w:ascii="Times New Roman" w:hAnsi="Times New Roman" w:cs="Times New Roman"/>
          <w:sz w:val="24"/>
          <w:szCs w:val="24"/>
        </w:rPr>
        <w:t>with which Chief Justice Mason and Justice McHugh agreed in both outcome and reasoning</w:t>
      </w:r>
      <w:r w:rsidR="00AB0598">
        <w:rPr>
          <w:rFonts w:ascii="Times New Roman" w:hAnsi="Times New Roman" w:cs="Times New Roman"/>
          <w:sz w:val="24"/>
          <w:szCs w:val="24"/>
        </w:rPr>
        <w:t>)</w:t>
      </w:r>
      <w:r w:rsidR="00AB0598">
        <w:rPr>
          <w:rStyle w:val="EndnoteReference"/>
          <w:rFonts w:ascii="Times New Roman" w:hAnsi="Times New Roman" w:cs="Times New Roman"/>
          <w:sz w:val="24"/>
          <w:szCs w:val="24"/>
        </w:rPr>
        <w:endnoteReference w:id="40"/>
      </w:r>
      <w:r w:rsidR="009F2EDF">
        <w:rPr>
          <w:rFonts w:ascii="Times New Roman" w:hAnsi="Times New Roman" w:cs="Times New Roman"/>
          <w:sz w:val="24"/>
          <w:szCs w:val="24"/>
        </w:rPr>
        <w:t xml:space="preserve"> and Justices Deane and Gaudron.</w:t>
      </w:r>
      <w:r w:rsidR="009F2EDF">
        <w:rPr>
          <w:rStyle w:val="EndnoteReference"/>
          <w:rFonts w:ascii="Times New Roman" w:hAnsi="Times New Roman" w:cs="Times New Roman"/>
          <w:sz w:val="24"/>
          <w:szCs w:val="24"/>
        </w:rPr>
        <w:endnoteReference w:id="41"/>
      </w:r>
      <w:r w:rsidR="00AB0598">
        <w:rPr>
          <w:rFonts w:ascii="Times New Roman" w:hAnsi="Times New Roman" w:cs="Times New Roman"/>
          <w:sz w:val="24"/>
          <w:szCs w:val="24"/>
        </w:rPr>
        <w:t xml:space="preserve"> Their medievalism </w:t>
      </w:r>
      <w:r w:rsidR="000627C6">
        <w:rPr>
          <w:rFonts w:ascii="Times New Roman" w:hAnsi="Times New Roman" w:cs="Times New Roman"/>
          <w:sz w:val="24"/>
          <w:szCs w:val="24"/>
        </w:rPr>
        <w:t>principally pertain</w:t>
      </w:r>
      <w:r w:rsidR="00AB0598">
        <w:rPr>
          <w:rFonts w:ascii="Times New Roman" w:hAnsi="Times New Roman" w:cs="Times New Roman"/>
          <w:sz w:val="24"/>
          <w:szCs w:val="24"/>
        </w:rPr>
        <w:t>s</w:t>
      </w:r>
      <w:r w:rsidR="000627C6">
        <w:rPr>
          <w:rFonts w:ascii="Times New Roman" w:hAnsi="Times New Roman" w:cs="Times New Roman"/>
          <w:sz w:val="24"/>
          <w:szCs w:val="24"/>
        </w:rPr>
        <w:t xml:space="preserve"> to Crown acquisition of land title following the Norman Conquest of England in 1066 and English conquests in Wales and Ireland. </w:t>
      </w:r>
      <w:r w:rsidR="007C16AA">
        <w:rPr>
          <w:rFonts w:ascii="Times New Roman" w:hAnsi="Times New Roman" w:cs="Times New Roman"/>
          <w:sz w:val="24"/>
          <w:szCs w:val="24"/>
        </w:rPr>
        <w:t xml:space="preserve">Justices Deane and Gaudron summarise the </w:t>
      </w:r>
      <w:r w:rsidR="002B5044">
        <w:rPr>
          <w:rFonts w:ascii="Times New Roman" w:hAnsi="Times New Roman" w:cs="Times New Roman"/>
          <w:sz w:val="24"/>
          <w:szCs w:val="24"/>
        </w:rPr>
        <w:t>central point</w:t>
      </w:r>
      <w:r w:rsidR="007C16AA">
        <w:rPr>
          <w:rFonts w:ascii="Times New Roman" w:hAnsi="Times New Roman" w:cs="Times New Roman"/>
          <w:sz w:val="24"/>
          <w:szCs w:val="24"/>
        </w:rPr>
        <w:t xml:space="preserve">: </w:t>
      </w:r>
    </w:p>
    <w:p w14:paraId="35DB8614" w14:textId="102AF266" w:rsidR="007C16AA" w:rsidRDefault="007C16AA" w:rsidP="007C16AA">
      <w:pPr>
        <w:spacing w:line="480" w:lineRule="auto"/>
        <w:ind w:left="567"/>
        <w:rPr>
          <w:rFonts w:ascii="Times New Roman" w:hAnsi="Times New Roman" w:cs="Times New Roman"/>
          <w:sz w:val="24"/>
          <w:szCs w:val="24"/>
        </w:rPr>
      </w:pPr>
      <w:r>
        <w:rPr>
          <w:rFonts w:ascii="Times New Roman" w:hAnsi="Times New Roman" w:cs="Times New Roman"/>
          <w:sz w:val="24"/>
          <w:szCs w:val="24"/>
        </w:rPr>
        <w:t>t</w:t>
      </w:r>
      <w:r w:rsidRPr="00AF6C85">
        <w:rPr>
          <w:rFonts w:ascii="Times New Roman" w:hAnsi="Times New Roman" w:cs="Times New Roman"/>
          <w:sz w:val="24"/>
          <w:szCs w:val="24"/>
        </w:rPr>
        <w:t>he English common law principles relating to real property developed as the product of concepts shaped by the feudal system of medieval times. The basic tenet was that, consequent upon the Norman Conquest, the Crown was the ow</w:t>
      </w:r>
      <w:r>
        <w:rPr>
          <w:rFonts w:ascii="Times New Roman" w:hAnsi="Times New Roman" w:cs="Times New Roman"/>
          <w:sz w:val="24"/>
          <w:szCs w:val="24"/>
        </w:rPr>
        <w:t>ner of all land in the kingdom.</w:t>
      </w:r>
      <w:r w:rsidRPr="00AF6C85">
        <w:rPr>
          <w:rStyle w:val="EndnoteReference"/>
          <w:rFonts w:ascii="Times New Roman" w:hAnsi="Times New Roman" w:cs="Times New Roman"/>
          <w:sz w:val="24"/>
          <w:szCs w:val="24"/>
        </w:rPr>
        <w:endnoteReference w:id="42"/>
      </w:r>
      <w:r>
        <w:rPr>
          <w:rFonts w:ascii="Times New Roman" w:hAnsi="Times New Roman" w:cs="Times New Roman"/>
          <w:sz w:val="24"/>
          <w:szCs w:val="24"/>
        </w:rPr>
        <w:t xml:space="preserve">  </w:t>
      </w:r>
    </w:p>
    <w:p w14:paraId="1BFD19C6" w14:textId="7E8F6E6F" w:rsidR="00892F20" w:rsidRPr="00AF6C85" w:rsidRDefault="005D27AC" w:rsidP="002C6566">
      <w:pPr>
        <w:spacing w:line="480" w:lineRule="auto"/>
        <w:rPr>
          <w:rFonts w:ascii="Times New Roman" w:hAnsi="Times New Roman" w:cs="Times New Roman"/>
          <w:sz w:val="24"/>
          <w:szCs w:val="24"/>
        </w:rPr>
      </w:pPr>
      <w:r>
        <w:rPr>
          <w:rFonts w:ascii="Times New Roman" w:hAnsi="Times New Roman" w:cs="Times New Roman"/>
          <w:sz w:val="24"/>
          <w:szCs w:val="24"/>
        </w:rPr>
        <w:t>Justice Brennan’s judgement</w:t>
      </w:r>
      <w:r w:rsidRPr="00AF6C85">
        <w:rPr>
          <w:rFonts w:ascii="Times New Roman" w:hAnsi="Times New Roman" w:cs="Times New Roman"/>
          <w:sz w:val="24"/>
          <w:szCs w:val="24"/>
        </w:rPr>
        <w:t xml:space="preserve"> cited seventeenth-century written precedents in English common law of land tenure rulings against universal Crown possession </w:t>
      </w:r>
      <w:r>
        <w:rPr>
          <w:rFonts w:ascii="Times New Roman" w:hAnsi="Times New Roman" w:cs="Times New Roman"/>
          <w:sz w:val="24"/>
          <w:szCs w:val="24"/>
        </w:rPr>
        <w:t>in</w:t>
      </w:r>
      <w:r w:rsidRPr="00AF6C85">
        <w:rPr>
          <w:rFonts w:ascii="Times New Roman" w:hAnsi="Times New Roman" w:cs="Times New Roman"/>
          <w:sz w:val="24"/>
          <w:szCs w:val="24"/>
        </w:rPr>
        <w:t xml:space="preserve"> the wake of </w:t>
      </w:r>
      <w:r>
        <w:rPr>
          <w:rFonts w:ascii="Times New Roman" w:hAnsi="Times New Roman" w:cs="Times New Roman"/>
          <w:sz w:val="24"/>
          <w:szCs w:val="24"/>
        </w:rPr>
        <w:t xml:space="preserve">medieval </w:t>
      </w:r>
      <w:r w:rsidRPr="00AF6C85">
        <w:rPr>
          <w:rFonts w:ascii="Times New Roman" w:hAnsi="Times New Roman" w:cs="Times New Roman"/>
          <w:sz w:val="24"/>
          <w:szCs w:val="24"/>
        </w:rPr>
        <w:t>conquests of Wales and Ireland.</w:t>
      </w:r>
      <w:r w:rsidRPr="00AF6C85">
        <w:rPr>
          <w:rStyle w:val="EndnoteReference"/>
          <w:rFonts w:ascii="Times New Roman" w:hAnsi="Times New Roman" w:cs="Times New Roman"/>
          <w:sz w:val="24"/>
          <w:szCs w:val="24"/>
        </w:rPr>
        <w:endnoteReference w:id="43"/>
      </w:r>
      <w:r>
        <w:rPr>
          <w:rFonts w:ascii="Times New Roman" w:hAnsi="Times New Roman" w:cs="Times New Roman"/>
          <w:sz w:val="24"/>
          <w:szCs w:val="24"/>
        </w:rPr>
        <w:t xml:space="preserve"> Justice Brennan’s judgement also</w:t>
      </w:r>
      <w:r w:rsidR="00892F20" w:rsidRPr="00AF6C85">
        <w:rPr>
          <w:rFonts w:ascii="Times New Roman" w:hAnsi="Times New Roman" w:cs="Times New Roman"/>
          <w:sz w:val="24"/>
          <w:szCs w:val="24"/>
        </w:rPr>
        <w:t xml:space="preserve"> </w:t>
      </w:r>
      <w:r w:rsidR="0035454E">
        <w:rPr>
          <w:rFonts w:ascii="Times New Roman" w:hAnsi="Times New Roman" w:cs="Times New Roman"/>
          <w:sz w:val="24"/>
          <w:szCs w:val="24"/>
        </w:rPr>
        <w:t>raises</w:t>
      </w:r>
      <w:r w:rsidR="00892F20" w:rsidRPr="00AF6C85">
        <w:rPr>
          <w:rFonts w:ascii="Times New Roman" w:hAnsi="Times New Roman" w:cs="Times New Roman"/>
          <w:sz w:val="24"/>
          <w:szCs w:val="24"/>
        </w:rPr>
        <w:t xml:space="preserve"> the </w:t>
      </w:r>
      <w:r w:rsidR="00892F20" w:rsidRPr="00AF6C85">
        <w:rPr>
          <w:rFonts w:ascii="Times New Roman" w:hAnsi="Times New Roman" w:cs="Times New Roman"/>
          <w:sz w:val="24"/>
          <w:szCs w:val="24"/>
        </w:rPr>
        <w:lastRenderedPageBreak/>
        <w:t>situation of Anglo-Saxon landholders and their titles after the Norman Conquest as key issue in common law arguments over the</w:t>
      </w:r>
      <w:r>
        <w:rPr>
          <w:rFonts w:ascii="Times New Roman" w:hAnsi="Times New Roman" w:cs="Times New Roman"/>
          <w:sz w:val="24"/>
          <w:szCs w:val="24"/>
        </w:rPr>
        <w:t xml:space="preserve"> ru</w:t>
      </w:r>
      <w:r w:rsidR="000B5DEF">
        <w:rPr>
          <w:rFonts w:ascii="Times New Roman" w:hAnsi="Times New Roman" w:cs="Times New Roman"/>
          <w:sz w:val="24"/>
          <w:szCs w:val="24"/>
        </w:rPr>
        <w:t>le of universality of tenure</w:t>
      </w:r>
      <w:r w:rsidR="00892F20" w:rsidRPr="00AF6C85">
        <w:rPr>
          <w:rFonts w:ascii="Times New Roman" w:hAnsi="Times New Roman" w:cs="Times New Roman"/>
          <w:sz w:val="24"/>
          <w:szCs w:val="24"/>
        </w:rPr>
        <w:t>:</w:t>
      </w:r>
    </w:p>
    <w:p w14:paraId="421B90AF" w14:textId="66D239C8" w:rsidR="00892F20" w:rsidRPr="00AF6C85" w:rsidRDefault="00892F20" w:rsidP="003419B1">
      <w:pPr>
        <w:spacing w:line="480" w:lineRule="auto"/>
        <w:ind w:left="567"/>
        <w:rPr>
          <w:rFonts w:ascii="Times New Roman" w:hAnsi="Times New Roman" w:cs="Times New Roman"/>
          <w:sz w:val="24"/>
          <w:szCs w:val="24"/>
        </w:rPr>
      </w:pPr>
      <w:r w:rsidRPr="00AF6C85">
        <w:rPr>
          <w:rFonts w:ascii="Times New Roman" w:hAnsi="Times New Roman" w:cs="Times New Roman"/>
          <w:sz w:val="24"/>
          <w:szCs w:val="24"/>
        </w:rPr>
        <w:t>The origin of the rule [of universality of tenure] is to be found in a traditional belief that, at some time after the Norman Conquest, the King either owned beneficially and granted, or otherwise became Paramount Lord of, all the land in the Kingdom.</w:t>
      </w:r>
      <w:r w:rsidRPr="00AF6C85">
        <w:rPr>
          <w:rStyle w:val="EndnoteReference"/>
          <w:rFonts w:ascii="Times New Roman" w:hAnsi="Times New Roman" w:cs="Times New Roman"/>
          <w:sz w:val="24"/>
          <w:szCs w:val="24"/>
        </w:rPr>
        <w:endnoteReference w:id="44"/>
      </w:r>
    </w:p>
    <w:p w14:paraId="4F6D2A80" w14:textId="06856E81" w:rsidR="007803AE" w:rsidRDefault="005D27AC" w:rsidP="007803AE">
      <w:pPr>
        <w:spacing w:line="480" w:lineRule="auto"/>
        <w:rPr>
          <w:rFonts w:ascii="Times New Roman" w:hAnsi="Times New Roman" w:cs="Times New Roman"/>
          <w:sz w:val="24"/>
          <w:szCs w:val="24"/>
        </w:rPr>
      </w:pPr>
      <w:r>
        <w:rPr>
          <w:rFonts w:ascii="Times New Roman" w:hAnsi="Times New Roman" w:cs="Times New Roman"/>
          <w:sz w:val="24"/>
          <w:szCs w:val="24"/>
        </w:rPr>
        <w:t xml:space="preserve">Justice Brennan offers </w:t>
      </w:r>
      <w:r w:rsidR="00892F20" w:rsidRPr="00AF6C85">
        <w:rPr>
          <w:rFonts w:ascii="Times New Roman" w:hAnsi="Times New Roman" w:cs="Times New Roman"/>
          <w:sz w:val="24"/>
          <w:szCs w:val="24"/>
        </w:rPr>
        <w:t xml:space="preserve">two possibilities as to how William </w:t>
      </w:r>
      <w:r w:rsidR="0035454E">
        <w:rPr>
          <w:rFonts w:ascii="Times New Roman" w:hAnsi="Times New Roman" w:cs="Times New Roman"/>
          <w:sz w:val="24"/>
          <w:szCs w:val="24"/>
        </w:rPr>
        <w:t>I may have acquired such rights</w:t>
      </w:r>
      <w:r>
        <w:rPr>
          <w:rFonts w:ascii="Times New Roman" w:hAnsi="Times New Roman" w:cs="Times New Roman"/>
          <w:sz w:val="24"/>
          <w:szCs w:val="24"/>
        </w:rPr>
        <w:t xml:space="preserve">, </w:t>
      </w:r>
      <w:r w:rsidR="00892F20" w:rsidRPr="00AF6C85">
        <w:rPr>
          <w:rFonts w:ascii="Times New Roman" w:hAnsi="Times New Roman" w:cs="Times New Roman"/>
          <w:sz w:val="24"/>
          <w:szCs w:val="24"/>
        </w:rPr>
        <w:t>both based on nineteenth-century comment</w:t>
      </w:r>
      <w:r w:rsidR="001A0F3F">
        <w:rPr>
          <w:rFonts w:ascii="Times New Roman" w:hAnsi="Times New Roman" w:cs="Times New Roman"/>
          <w:sz w:val="24"/>
          <w:szCs w:val="24"/>
        </w:rPr>
        <w:t>aries on medieval legal history,</w:t>
      </w:r>
      <w:r w:rsidR="00892F20" w:rsidRPr="00AF6C85">
        <w:rPr>
          <w:rStyle w:val="EndnoteReference"/>
          <w:rFonts w:ascii="Times New Roman" w:hAnsi="Times New Roman" w:cs="Times New Roman"/>
          <w:sz w:val="24"/>
          <w:szCs w:val="24"/>
        </w:rPr>
        <w:endnoteReference w:id="45"/>
      </w:r>
      <w:r w:rsidR="00892F20" w:rsidRPr="00AF6C85">
        <w:rPr>
          <w:rFonts w:ascii="Times New Roman" w:hAnsi="Times New Roman" w:cs="Times New Roman"/>
          <w:sz w:val="24"/>
          <w:szCs w:val="24"/>
        </w:rPr>
        <w:t xml:space="preserve"> then states: “whatever the fact, it is the fiction of royal grants that underlies the English rule</w:t>
      </w:r>
      <w:r w:rsidR="0035454E">
        <w:rPr>
          <w:rFonts w:ascii="Times New Roman" w:hAnsi="Times New Roman" w:cs="Times New Roman"/>
          <w:sz w:val="24"/>
          <w:szCs w:val="24"/>
        </w:rPr>
        <w:t>.</w:t>
      </w:r>
      <w:r w:rsidR="00892F20" w:rsidRPr="00AF6C85">
        <w:rPr>
          <w:rFonts w:ascii="Times New Roman" w:hAnsi="Times New Roman" w:cs="Times New Roman"/>
          <w:sz w:val="24"/>
          <w:szCs w:val="24"/>
        </w:rPr>
        <w:t>”</w:t>
      </w:r>
      <w:r w:rsidR="00AA6DB0">
        <w:rPr>
          <w:rStyle w:val="EndnoteReference"/>
          <w:rFonts w:ascii="Times New Roman" w:hAnsi="Times New Roman" w:cs="Times New Roman"/>
          <w:sz w:val="24"/>
          <w:szCs w:val="24"/>
        </w:rPr>
        <w:endnoteReference w:id="46"/>
      </w:r>
      <w:r w:rsidR="00892F20" w:rsidRPr="00AF6C85">
        <w:rPr>
          <w:rFonts w:ascii="Times New Roman" w:hAnsi="Times New Roman" w:cs="Times New Roman"/>
          <w:sz w:val="24"/>
          <w:szCs w:val="24"/>
        </w:rPr>
        <w:t xml:space="preserve"> </w:t>
      </w:r>
      <w:r w:rsidR="00AB0598">
        <w:rPr>
          <w:rFonts w:ascii="Times New Roman" w:hAnsi="Times New Roman" w:cs="Times New Roman"/>
          <w:sz w:val="24"/>
          <w:szCs w:val="24"/>
        </w:rPr>
        <w:t xml:space="preserve"> Justice Brennan quotes</w:t>
      </w:r>
      <w:r w:rsidR="00110B59">
        <w:rPr>
          <w:rFonts w:ascii="Times New Roman" w:hAnsi="Times New Roman" w:cs="Times New Roman"/>
          <w:sz w:val="24"/>
          <w:szCs w:val="24"/>
        </w:rPr>
        <w:t xml:space="preserve"> </w:t>
      </w:r>
      <w:r w:rsidR="00110B59" w:rsidRPr="000B5DEF">
        <w:rPr>
          <w:rFonts w:ascii="Times New Roman" w:hAnsi="Times New Roman" w:cs="Times New Roman"/>
          <w:sz w:val="24"/>
          <w:szCs w:val="24"/>
        </w:rPr>
        <w:t xml:space="preserve">Blackstone’s </w:t>
      </w:r>
      <w:r w:rsidR="00110B59" w:rsidRPr="000B5DEF">
        <w:rPr>
          <w:rFonts w:ascii="Times New Roman" w:hAnsi="Times New Roman" w:cs="Times New Roman"/>
          <w:i/>
          <w:sz w:val="24"/>
          <w:szCs w:val="24"/>
        </w:rPr>
        <w:t>Commentaries</w:t>
      </w:r>
      <w:r w:rsidR="008F23C8" w:rsidRPr="000B5DEF">
        <w:rPr>
          <w:rFonts w:ascii="Times New Roman" w:hAnsi="Times New Roman" w:cs="Times New Roman"/>
          <w:sz w:val="24"/>
          <w:szCs w:val="24"/>
        </w:rPr>
        <w:t>:</w:t>
      </w:r>
      <w:r w:rsidR="007803AE" w:rsidRPr="000B5DEF">
        <w:rPr>
          <w:rFonts w:ascii="Times New Roman" w:hAnsi="Times New Roman" w:cs="Times New Roman"/>
          <w:sz w:val="24"/>
          <w:szCs w:val="24"/>
        </w:rPr>
        <w:t xml:space="preserve"> </w:t>
      </w:r>
    </w:p>
    <w:p w14:paraId="755A2492" w14:textId="6BEFFCBE" w:rsidR="008F23C8" w:rsidRPr="007803AE" w:rsidRDefault="007803AE" w:rsidP="007803AE">
      <w:pPr>
        <w:spacing w:line="480" w:lineRule="auto"/>
        <w:ind w:left="567"/>
        <w:rPr>
          <w:rFonts w:ascii="Times New Roman" w:hAnsi="Times New Roman" w:cs="Times New Roman"/>
          <w:sz w:val="24"/>
          <w:szCs w:val="24"/>
        </w:rPr>
      </w:pPr>
      <w:r w:rsidRPr="00AF6C85">
        <w:rPr>
          <w:rFonts w:ascii="Times New Roman" w:hAnsi="Times New Roman" w:cs="Times New Roman"/>
          <w:sz w:val="24"/>
          <w:szCs w:val="24"/>
        </w:rPr>
        <w:t>it became a fundamental maxim, and necessary principle (though in reality a mere fi</w:t>
      </w:r>
      <w:r>
        <w:rPr>
          <w:rFonts w:ascii="Times New Roman" w:hAnsi="Times New Roman" w:cs="Times New Roman"/>
          <w:sz w:val="24"/>
          <w:szCs w:val="24"/>
        </w:rPr>
        <w:t>ction) of our English tenures, ‘</w:t>
      </w:r>
      <w:r w:rsidRPr="00AF6C85">
        <w:rPr>
          <w:rFonts w:ascii="Times New Roman" w:hAnsi="Times New Roman" w:cs="Times New Roman"/>
          <w:sz w:val="24"/>
          <w:szCs w:val="24"/>
        </w:rPr>
        <w:t xml:space="preserve">that the king is the universal lord and original proprietor of all the lands in his kingdom; and that no man doth or can possess any part of it, but what has, mediately or immediately, been derived </w:t>
      </w:r>
      <w:r>
        <w:rPr>
          <w:rFonts w:ascii="Times New Roman" w:hAnsi="Times New Roman" w:cs="Times New Roman"/>
          <w:sz w:val="24"/>
          <w:szCs w:val="24"/>
        </w:rPr>
        <w:t>as a gift from him’.</w:t>
      </w:r>
      <w:r w:rsidRPr="00AF6C85">
        <w:rPr>
          <w:rStyle w:val="EndnoteReference"/>
          <w:rFonts w:ascii="Times New Roman" w:hAnsi="Times New Roman" w:cs="Times New Roman"/>
          <w:sz w:val="24"/>
          <w:szCs w:val="24"/>
        </w:rPr>
        <w:endnoteReference w:id="47"/>
      </w:r>
    </w:p>
    <w:p w14:paraId="5CCAB1B6" w14:textId="36BD753C" w:rsidR="00C20F38" w:rsidRDefault="007803AE" w:rsidP="002C6566">
      <w:pPr>
        <w:spacing w:line="480" w:lineRule="auto"/>
        <w:rPr>
          <w:rFonts w:ascii="Times New Roman" w:hAnsi="Times New Roman" w:cs="Times New Roman"/>
          <w:sz w:val="24"/>
          <w:szCs w:val="24"/>
        </w:rPr>
      </w:pPr>
      <w:r w:rsidRPr="000B5DEF">
        <w:rPr>
          <w:rFonts w:ascii="Times New Roman" w:hAnsi="Times New Roman" w:cs="Times New Roman"/>
          <w:sz w:val="24"/>
          <w:szCs w:val="24"/>
        </w:rPr>
        <w:t xml:space="preserve"> Crown possession </w:t>
      </w:r>
      <w:r w:rsidR="002B5044">
        <w:rPr>
          <w:rFonts w:ascii="Times New Roman" w:hAnsi="Times New Roman" w:cs="Times New Roman"/>
          <w:sz w:val="24"/>
          <w:szCs w:val="24"/>
        </w:rPr>
        <w:t xml:space="preserve">in Australia </w:t>
      </w:r>
      <w:r w:rsidRPr="000B5DEF">
        <w:rPr>
          <w:rFonts w:ascii="Times New Roman" w:hAnsi="Times New Roman" w:cs="Times New Roman"/>
          <w:sz w:val="24"/>
          <w:szCs w:val="24"/>
        </w:rPr>
        <w:t>exists a</w:t>
      </w:r>
      <w:r w:rsidR="00110B59" w:rsidRPr="000B5DEF">
        <w:rPr>
          <w:rFonts w:ascii="Times New Roman" w:hAnsi="Times New Roman" w:cs="Times New Roman"/>
          <w:sz w:val="24"/>
          <w:szCs w:val="24"/>
        </w:rPr>
        <w:t>s</w:t>
      </w:r>
      <w:r w:rsidRPr="000B5DEF">
        <w:rPr>
          <w:rFonts w:ascii="Times New Roman" w:hAnsi="Times New Roman" w:cs="Times New Roman"/>
          <w:sz w:val="24"/>
          <w:szCs w:val="24"/>
        </w:rPr>
        <w:t xml:space="preserve"> </w:t>
      </w:r>
      <w:r w:rsidR="00110B59" w:rsidRPr="000B5DEF">
        <w:rPr>
          <w:rFonts w:ascii="Times New Roman" w:hAnsi="Times New Roman" w:cs="Times New Roman"/>
          <w:sz w:val="24"/>
          <w:szCs w:val="24"/>
        </w:rPr>
        <w:t>exercise of power</w:t>
      </w:r>
      <w:r w:rsidRPr="000B5DEF">
        <w:rPr>
          <w:rFonts w:ascii="Times New Roman" w:hAnsi="Times New Roman" w:cs="Times New Roman"/>
          <w:sz w:val="24"/>
          <w:szCs w:val="24"/>
        </w:rPr>
        <w:t xml:space="preserve">, that is, it is a matter of fact that has been made </w:t>
      </w:r>
      <w:r w:rsidR="002B5044">
        <w:rPr>
          <w:rFonts w:ascii="Times New Roman" w:hAnsi="Times New Roman" w:cs="Times New Roman"/>
          <w:sz w:val="24"/>
          <w:szCs w:val="24"/>
        </w:rPr>
        <w:t>into a matter of law through application of</w:t>
      </w:r>
      <w:r w:rsidRPr="000B5DEF">
        <w:rPr>
          <w:rFonts w:ascii="Times New Roman" w:hAnsi="Times New Roman" w:cs="Times New Roman"/>
          <w:sz w:val="24"/>
          <w:szCs w:val="24"/>
        </w:rPr>
        <w:t xml:space="preserve"> a legal precedent</w:t>
      </w:r>
      <w:r w:rsidR="002B5044">
        <w:rPr>
          <w:rFonts w:ascii="Times New Roman" w:hAnsi="Times New Roman" w:cs="Times New Roman"/>
          <w:sz w:val="24"/>
          <w:szCs w:val="24"/>
        </w:rPr>
        <w:t xml:space="preserve"> justifying assertion of sovereign power</w:t>
      </w:r>
      <w:r w:rsidRPr="000B5DEF">
        <w:rPr>
          <w:rFonts w:ascii="Times New Roman" w:hAnsi="Times New Roman" w:cs="Times New Roman"/>
          <w:sz w:val="24"/>
          <w:szCs w:val="24"/>
        </w:rPr>
        <w:t>.</w:t>
      </w:r>
      <w:r w:rsidR="002B5044">
        <w:rPr>
          <w:rFonts w:ascii="Times New Roman" w:hAnsi="Times New Roman" w:cs="Times New Roman"/>
          <w:sz w:val="24"/>
          <w:szCs w:val="24"/>
        </w:rPr>
        <w:t xml:space="preserve"> For Blackstone, as Davis argues, feudal law was imposed by the Normans in England on terms that “were de jure, not de facto”, that is as a matter of legal principle not </w:t>
      </w:r>
      <w:r w:rsidR="00271224">
        <w:rPr>
          <w:rFonts w:ascii="Times New Roman" w:hAnsi="Times New Roman" w:cs="Times New Roman"/>
          <w:sz w:val="24"/>
          <w:szCs w:val="24"/>
        </w:rPr>
        <w:t xml:space="preserve">a </w:t>
      </w:r>
      <w:r w:rsidR="002B5044">
        <w:rPr>
          <w:rFonts w:ascii="Times New Roman" w:hAnsi="Times New Roman" w:cs="Times New Roman"/>
          <w:sz w:val="24"/>
          <w:szCs w:val="24"/>
        </w:rPr>
        <w:t>fact of reality (albeit as Bl</w:t>
      </w:r>
      <w:r w:rsidR="00DA37DF">
        <w:rPr>
          <w:rFonts w:ascii="Times New Roman" w:hAnsi="Times New Roman" w:cs="Times New Roman"/>
          <w:sz w:val="24"/>
          <w:szCs w:val="24"/>
        </w:rPr>
        <w:t>a</w:t>
      </w:r>
      <w:r w:rsidR="002B5044">
        <w:rPr>
          <w:rFonts w:ascii="Times New Roman" w:hAnsi="Times New Roman" w:cs="Times New Roman"/>
          <w:sz w:val="24"/>
          <w:szCs w:val="24"/>
        </w:rPr>
        <w:t>ckstone has it the Normans exploited that law to their own advantage).</w:t>
      </w:r>
      <w:r w:rsidR="00271224">
        <w:rPr>
          <w:rStyle w:val="EndnoteReference"/>
          <w:rFonts w:ascii="Times New Roman" w:hAnsi="Times New Roman" w:cs="Times New Roman"/>
          <w:sz w:val="24"/>
          <w:szCs w:val="24"/>
        </w:rPr>
        <w:endnoteReference w:id="48"/>
      </w:r>
      <w:r w:rsidR="00271224">
        <w:rPr>
          <w:rFonts w:ascii="Times New Roman" w:hAnsi="Times New Roman" w:cs="Times New Roman"/>
          <w:sz w:val="24"/>
          <w:szCs w:val="24"/>
        </w:rPr>
        <w:t xml:space="preserve"> </w:t>
      </w:r>
      <w:r w:rsidR="00DA37DF">
        <w:rPr>
          <w:rFonts w:ascii="Times New Roman" w:hAnsi="Times New Roman" w:cs="Times New Roman"/>
          <w:sz w:val="24"/>
          <w:szCs w:val="24"/>
        </w:rPr>
        <w:t xml:space="preserve">In Australia, the opposite is </w:t>
      </w:r>
      <w:r w:rsidR="00271224">
        <w:rPr>
          <w:rFonts w:ascii="Times New Roman" w:hAnsi="Times New Roman" w:cs="Times New Roman"/>
          <w:sz w:val="24"/>
          <w:szCs w:val="24"/>
        </w:rPr>
        <w:t>the case</w:t>
      </w:r>
      <w:r w:rsidR="00DA37DF">
        <w:rPr>
          <w:rFonts w:ascii="Times New Roman" w:hAnsi="Times New Roman" w:cs="Times New Roman"/>
          <w:sz w:val="24"/>
          <w:szCs w:val="24"/>
        </w:rPr>
        <w:t>: the fact of reality – claiming of sovereignty and</w:t>
      </w:r>
      <w:r w:rsidR="00AB0598">
        <w:rPr>
          <w:rFonts w:ascii="Times New Roman" w:hAnsi="Times New Roman" w:cs="Times New Roman"/>
          <w:sz w:val="24"/>
          <w:szCs w:val="24"/>
        </w:rPr>
        <w:t xml:space="preserve"> violent possession-taking –</w:t>
      </w:r>
      <w:r w:rsidR="00DA37DF">
        <w:rPr>
          <w:rFonts w:ascii="Times New Roman" w:hAnsi="Times New Roman" w:cs="Times New Roman"/>
          <w:sz w:val="24"/>
          <w:szCs w:val="24"/>
        </w:rPr>
        <w:t xml:space="preserve"> justified by legal principle.</w:t>
      </w:r>
      <w:r w:rsidR="00DA37DF">
        <w:rPr>
          <w:rStyle w:val="EndnoteReference"/>
          <w:rFonts w:ascii="Times New Roman" w:hAnsi="Times New Roman" w:cs="Times New Roman"/>
          <w:sz w:val="24"/>
          <w:szCs w:val="24"/>
        </w:rPr>
        <w:endnoteReference w:id="49"/>
      </w:r>
      <w:r w:rsidR="00DA37DF">
        <w:rPr>
          <w:rFonts w:ascii="Times New Roman" w:hAnsi="Times New Roman" w:cs="Times New Roman"/>
          <w:sz w:val="24"/>
          <w:szCs w:val="24"/>
        </w:rPr>
        <w:t xml:space="preserve"> </w:t>
      </w:r>
    </w:p>
    <w:p w14:paraId="3039424D" w14:textId="77777777" w:rsidR="00C20F38" w:rsidRDefault="00C20F38" w:rsidP="002C6566">
      <w:pPr>
        <w:spacing w:line="480" w:lineRule="auto"/>
        <w:rPr>
          <w:rFonts w:ascii="Times New Roman" w:hAnsi="Times New Roman" w:cs="Times New Roman"/>
          <w:sz w:val="24"/>
          <w:szCs w:val="24"/>
        </w:rPr>
      </w:pPr>
    </w:p>
    <w:p w14:paraId="3BF7777E" w14:textId="10AC9B53" w:rsidR="0035454E" w:rsidRDefault="008F23C8" w:rsidP="002C6566">
      <w:pPr>
        <w:spacing w:line="480" w:lineRule="auto"/>
        <w:rPr>
          <w:rFonts w:ascii="Times New Roman" w:hAnsi="Times New Roman" w:cs="Times New Roman"/>
          <w:sz w:val="24"/>
          <w:szCs w:val="24"/>
        </w:rPr>
      </w:pPr>
      <w:r>
        <w:rPr>
          <w:rFonts w:ascii="Times New Roman" w:hAnsi="Times New Roman" w:cs="Times New Roman"/>
          <w:sz w:val="24"/>
          <w:szCs w:val="24"/>
        </w:rPr>
        <w:t>U</w:t>
      </w:r>
      <w:r w:rsidR="00C20F38">
        <w:rPr>
          <w:rFonts w:ascii="Times New Roman" w:hAnsi="Times New Roman" w:cs="Times New Roman"/>
          <w:sz w:val="24"/>
          <w:szCs w:val="24"/>
        </w:rPr>
        <w:t xml:space="preserve">niversality of tenure </w:t>
      </w:r>
      <w:r w:rsidR="00892F20" w:rsidRPr="00AF6C85">
        <w:rPr>
          <w:rFonts w:ascii="Times New Roman" w:hAnsi="Times New Roman" w:cs="Times New Roman"/>
          <w:sz w:val="24"/>
          <w:szCs w:val="24"/>
        </w:rPr>
        <w:t>was a convenient fiction</w:t>
      </w:r>
      <w:r w:rsidR="00C20F38">
        <w:rPr>
          <w:rFonts w:ascii="Times New Roman" w:hAnsi="Times New Roman" w:cs="Times New Roman"/>
          <w:sz w:val="24"/>
          <w:szCs w:val="24"/>
        </w:rPr>
        <w:t xml:space="preserve"> apt for colonial purposes</w:t>
      </w:r>
      <w:r>
        <w:rPr>
          <w:rFonts w:ascii="Times New Roman" w:hAnsi="Times New Roman" w:cs="Times New Roman"/>
          <w:sz w:val="24"/>
          <w:szCs w:val="24"/>
        </w:rPr>
        <w:t xml:space="preserve">; Justice Brennan’s judgement </w:t>
      </w:r>
      <w:r w:rsidR="005D27AC">
        <w:rPr>
          <w:rFonts w:ascii="Times New Roman" w:hAnsi="Times New Roman" w:cs="Times New Roman"/>
          <w:sz w:val="24"/>
          <w:szCs w:val="24"/>
        </w:rPr>
        <w:t xml:space="preserve">explicitly </w:t>
      </w:r>
      <w:r w:rsidR="00892F20" w:rsidRPr="00AF6C85">
        <w:rPr>
          <w:rFonts w:ascii="Times New Roman" w:hAnsi="Times New Roman" w:cs="Times New Roman"/>
          <w:sz w:val="24"/>
          <w:szCs w:val="24"/>
        </w:rPr>
        <w:t>refus</w:t>
      </w:r>
      <w:r>
        <w:rPr>
          <w:rFonts w:ascii="Times New Roman" w:hAnsi="Times New Roman" w:cs="Times New Roman"/>
          <w:sz w:val="24"/>
          <w:szCs w:val="24"/>
        </w:rPr>
        <w:t>es</w:t>
      </w:r>
      <w:r w:rsidR="00892F20" w:rsidRPr="00AF6C85">
        <w:rPr>
          <w:rFonts w:ascii="Times New Roman" w:hAnsi="Times New Roman" w:cs="Times New Roman"/>
          <w:sz w:val="24"/>
          <w:szCs w:val="24"/>
        </w:rPr>
        <w:t xml:space="preserve"> to challenge </w:t>
      </w:r>
      <w:r w:rsidR="00A83B05">
        <w:rPr>
          <w:rFonts w:ascii="Times New Roman" w:hAnsi="Times New Roman" w:cs="Times New Roman"/>
          <w:sz w:val="24"/>
          <w:szCs w:val="24"/>
        </w:rPr>
        <w:t>what</w:t>
      </w:r>
      <w:r w:rsidR="0035454E">
        <w:rPr>
          <w:rFonts w:ascii="Times New Roman" w:hAnsi="Times New Roman" w:cs="Times New Roman"/>
          <w:sz w:val="24"/>
          <w:szCs w:val="24"/>
        </w:rPr>
        <w:t xml:space="preserve"> it </w:t>
      </w:r>
      <w:r>
        <w:rPr>
          <w:rFonts w:ascii="Times New Roman" w:hAnsi="Times New Roman" w:cs="Times New Roman"/>
          <w:sz w:val="24"/>
          <w:szCs w:val="24"/>
        </w:rPr>
        <w:t>acknowledges</w:t>
      </w:r>
      <w:r w:rsidR="0035454E">
        <w:rPr>
          <w:rFonts w:ascii="Times New Roman" w:hAnsi="Times New Roman" w:cs="Times New Roman"/>
          <w:sz w:val="24"/>
          <w:szCs w:val="24"/>
        </w:rPr>
        <w:t xml:space="preserve"> to be false: </w:t>
      </w:r>
    </w:p>
    <w:p w14:paraId="475C88CE" w14:textId="77777777" w:rsidR="0035454E" w:rsidRDefault="00892F20" w:rsidP="0035454E">
      <w:pPr>
        <w:spacing w:line="480" w:lineRule="auto"/>
        <w:ind w:left="567"/>
        <w:rPr>
          <w:rFonts w:ascii="Times New Roman" w:hAnsi="Times New Roman" w:cs="Times New Roman"/>
          <w:sz w:val="24"/>
          <w:szCs w:val="24"/>
        </w:rPr>
      </w:pPr>
      <w:r w:rsidRPr="00AF6C85">
        <w:rPr>
          <w:rFonts w:ascii="Times New Roman" w:hAnsi="Times New Roman" w:cs="Times New Roman"/>
          <w:sz w:val="24"/>
          <w:szCs w:val="24"/>
        </w:rPr>
        <w:lastRenderedPageBreak/>
        <w:t>it is far too late in the day to contemplate an allodial or other system of land ownership. Land in Australia which has been granted by the Crown is held on a tenure of some kind and the titles acquired under the accepte</w:t>
      </w:r>
      <w:r w:rsidR="0035454E">
        <w:rPr>
          <w:rFonts w:ascii="Times New Roman" w:hAnsi="Times New Roman" w:cs="Times New Roman"/>
          <w:sz w:val="24"/>
          <w:szCs w:val="24"/>
        </w:rPr>
        <w:t>d land law cannot be disturbed.</w:t>
      </w:r>
      <w:r w:rsidRPr="00AF6C85">
        <w:rPr>
          <w:rStyle w:val="EndnoteReference"/>
          <w:rFonts w:ascii="Times New Roman" w:hAnsi="Times New Roman" w:cs="Times New Roman"/>
          <w:sz w:val="24"/>
          <w:szCs w:val="24"/>
        </w:rPr>
        <w:endnoteReference w:id="50"/>
      </w:r>
      <w:r w:rsidRPr="00AF6C85">
        <w:rPr>
          <w:rFonts w:ascii="Times New Roman" w:hAnsi="Times New Roman" w:cs="Times New Roman"/>
          <w:sz w:val="24"/>
          <w:szCs w:val="24"/>
        </w:rPr>
        <w:t xml:space="preserve"> </w:t>
      </w:r>
    </w:p>
    <w:p w14:paraId="11E1D4AF" w14:textId="55F8CB0D" w:rsidR="00892F20" w:rsidRDefault="005D27AC" w:rsidP="002C6566">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w:t>
      </w:r>
      <w:r w:rsidR="00892F20" w:rsidRPr="00AF6C85">
        <w:rPr>
          <w:rFonts w:ascii="Times New Roman" w:hAnsi="Times New Roman" w:cs="Times New Roman"/>
          <w:sz w:val="24"/>
          <w:szCs w:val="24"/>
        </w:rPr>
        <w:t>acknowledgement of the fictional basis for legal</w:t>
      </w:r>
      <w:r w:rsidR="001A0F3F">
        <w:rPr>
          <w:rFonts w:ascii="Times New Roman" w:hAnsi="Times New Roman" w:cs="Times New Roman"/>
          <w:sz w:val="24"/>
          <w:szCs w:val="24"/>
        </w:rPr>
        <w:t>ly-</w:t>
      </w:r>
      <w:r w:rsidR="00892F20" w:rsidRPr="00AF6C85">
        <w:rPr>
          <w:rFonts w:ascii="Times New Roman" w:hAnsi="Times New Roman" w:cs="Times New Roman"/>
          <w:sz w:val="24"/>
          <w:szCs w:val="24"/>
        </w:rPr>
        <w:t xml:space="preserve">inscribed reality in </w:t>
      </w:r>
      <w:r w:rsidR="007803AE">
        <w:rPr>
          <w:rFonts w:ascii="Times New Roman" w:hAnsi="Times New Roman" w:cs="Times New Roman"/>
          <w:sz w:val="24"/>
          <w:szCs w:val="24"/>
        </w:rPr>
        <w:t xml:space="preserve">Justice Brennan’s </w:t>
      </w:r>
      <w:r w:rsidR="00892F20" w:rsidRPr="00AF6C85">
        <w:rPr>
          <w:rFonts w:ascii="Times New Roman" w:hAnsi="Times New Roman" w:cs="Times New Roman"/>
          <w:i/>
          <w:sz w:val="24"/>
          <w:szCs w:val="24"/>
        </w:rPr>
        <w:t>Mabo</w:t>
      </w:r>
      <w:r w:rsidR="00892F20" w:rsidRPr="00AF6C85">
        <w:rPr>
          <w:rFonts w:ascii="Times New Roman" w:hAnsi="Times New Roman" w:cs="Times New Roman"/>
          <w:sz w:val="24"/>
          <w:szCs w:val="24"/>
        </w:rPr>
        <w:t xml:space="preserve"> </w:t>
      </w:r>
      <w:r w:rsidR="007803AE">
        <w:rPr>
          <w:rFonts w:ascii="Times New Roman" w:hAnsi="Times New Roman" w:cs="Times New Roman"/>
          <w:sz w:val="24"/>
          <w:szCs w:val="24"/>
        </w:rPr>
        <w:t xml:space="preserve">judgement </w:t>
      </w:r>
      <w:r w:rsidR="00892F20" w:rsidRPr="00AF6C85">
        <w:rPr>
          <w:rFonts w:ascii="Times New Roman" w:hAnsi="Times New Roman" w:cs="Times New Roman"/>
          <w:sz w:val="24"/>
          <w:szCs w:val="24"/>
        </w:rPr>
        <w:t xml:space="preserve">illustrates in concrete terms the axiom of medievalism that what is thought or said to have happened matters far more in the modern era than what actually happened in the Middle Ages. Medievalist fiction was made a fact of power and possession in </w:t>
      </w:r>
      <w:r w:rsidR="00271224">
        <w:rPr>
          <w:rFonts w:ascii="Times New Roman" w:hAnsi="Times New Roman" w:cs="Times New Roman"/>
          <w:sz w:val="24"/>
          <w:szCs w:val="24"/>
        </w:rPr>
        <w:t xml:space="preserve">settler </w:t>
      </w:r>
      <w:r w:rsidR="00892F20" w:rsidRPr="00AF6C85">
        <w:rPr>
          <w:rFonts w:ascii="Times New Roman" w:hAnsi="Times New Roman" w:cs="Times New Roman"/>
          <w:sz w:val="24"/>
          <w:szCs w:val="24"/>
        </w:rPr>
        <w:t>colonial Aust</w:t>
      </w:r>
      <w:r w:rsidR="00271224">
        <w:rPr>
          <w:rFonts w:ascii="Times New Roman" w:hAnsi="Times New Roman" w:cs="Times New Roman"/>
          <w:sz w:val="24"/>
          <w:szCs w:val="24"/>
        </w:rPr>
        <w:t>ralia because it suited</w:t>
      </w:r>
      <w:r w:rsidR="00892F20" w:rsidRPr="00AF6C85">
        <w:rPr>
          <w:rFonts w:ascii="Times New Roman" w:hAnsi="Times New Roman" w:cs="Times New Roman"/>
          <w:sz w:val="24"/>
          <w:szCs w:val="24"/>
        </w:rPr>
        <w:t xml:space="preserve"> the needs of the white settler colony. </w:t>
      </w:r>
      <w:r w:rsidR="00B06C98">
        <w:rPr>
          <w:rFonts w:ascii="Times New Roman" w:hAnsi="Times New Roman" w:cs="Times New Roman"/>
          <w:sz w:val="24"/>
          <w:szCs w:val="24"/>
        </w:rPr>
        <w:t xml:space="preserve">That process of factualising fiction in the Australian legal record </w:t>
      </w:r>
      <w:r w:rsidR="00063235">
        <w:rPr>
          <w:rFonts w:ascii="Times New Roman" w:hAnsi="Times New Roman" w:cs="Times New Roman"/>
          <w:sz w:val="24"/>
          <w:szCs w:val="24"/>
        </w:rPr>
        <w:t>generates a particular form of medievalist temporality by inserting the present into the past at precisely the moment it claims that same present is authorised by the past it creates. Linear time collapses even as its valency is insisted upon. The medieval past is not a mirror, as Kathleen Biddick</w:t>
      </w:r>
      <w:r w:rsidR="003930CE">
        <w:rPr>
          <w:rFonts w:ascii="Times New Roman" w:hAnsi="Times New Roman" w:cs="Times New Roman"/>
          <w:sz w:val="24"/>
          <w:szCs w:val="24"/>
        </w:rPr>
        <w:t xml:space="preserve"> </w:t>
      </w:r>
      <w:r w:rsidR="00271224">
        <w:rPr>
          <w:rFonts w:ascii="Times New Roman" w:hAnsi="Times New Roman" w:cs="Times New Roman"/>
          <w:sz w:val="24"/>
          <w:szCs w:val="24"/>
        </w:rPr>
        <w:t>puts</w:t>
      </w:r>
      <w:r w:rsidR="003930CE">
        <w:rPr>
          <w:rFonts w:ascii="Times New Roman" w:hAnsi="Times New Roman" w:cs="Times New Roman"/>
          <w:sz w:val="24"/>
          <w:szCs w:val="24"/>
        </w:rPr>
        <w:t xml:space="preserve"> it in her influential </w:t>
      </w:r>
      <w:r w:rsidR="00015FB3">
        <w:rPr>
          <w:rFonts w:ascii="Times New Roman" w:hAnsi="Times New Roman" w:cs="Times New Roman"/>
          <w:sz w:val="24"/>
          <w:szCs w:val="24"/>
        </w:rPr>
        <w:t>articulation of presentism, and nor is this legal medievalism pastist; ‘then’ and ‘now’ are not “bounded temporal objects that cannot come into contact.”</w:t>
      </w:r>
      <w:r w:rsidR="003930CE">
        <w:rPr>
          <w:rStyle w:val="EndnoteReference"/>
          <w:rFonts w:ascii="Times New Roman" w:hAnsi="Times New Roman" w:cs="Times New Roman"/>
          <w:sz w:val="24"/>
          <w:szCs w:val="24"/>
        </w:rPr>
        <w:endnoteReference w:id="51"/>
      </w:r>
      <w:r w:rsidR="003930CE">
        <w:rPr>
          <w:rFonts w:ascii="Times New Roman" w:hAnsi="Times New Roman" w:cs="Times New Roman"/>
          <w:sz w:val="24"/>
          <w:szCs w:val="24"/>
        </w:rPr>
        <w:t xml:space="preserve"> </w:t>
      </w:r>
      <w:r w:rsidR="00673A83">
        <w:rPr>
          <w:rFonts w:ascii="Times New Roman" w:hAnsi="Times New Roman" w:cs="Times New Roman"/>
          <w:sz w:val="24"/>
          <w:szCs w:val="24"/>
        </w:rPr>
        <w:t>There is something of a n</w:t>
      </w:r>
      <w:r w:rsidR="003930CE" w:rsidRPr="00673A83">
        <w:rPr>
          <w:rFonts w:ascii="Times New Roman" w:hAnsi="Times New Roman" w:cs="Times New Roman"/>
          <w:sz w:val="24"/>
          <w:szCs w:val="24"/>
        </w:rPr>
        <w:t>eomedievalist sim</w:t>
      </w:r>
      <w:r w:rsidR="00673A83" w:rsidRPr="00673A83">
        <w:rPr>
          <w:rFonts w:ascii="Times New Roman" w:hAnsi="Times New Roman" w:cs="Times New Roman"/>
          <w:sz w:val="24"/>
          <w:szCs w:val="24"/>
        </w:rPr>
        <w:t xml:space="preserve">ulacrum because the present judgement creates </w:t>
      </w:r>
      <w:r w:rsidR="003930CE" w:rsidRPr="00673A83">
        <w:rPr>
          <w:rFonts w:ascii="Times New Roman" w:hAnsi="Times New Roman" w:cs="Times New Roman"/>
          <w:sz w:val="24"/>
          <w:szCs w:val="24"/>
        </w:rPr>
        <w:t>a copy based on an original</w:t>
      </w:r>
      <w:r w:rsidR="00673A83" w:rsidRPr="00673A83">
        <w:rPr>
          <w:rFonts w:ascii="Times New Roman" w:hAnsi="Times New Roman" w:cs="Times New Roman"/>
          <w:sz w:val="24"/>
          <w:szCs w:val="24"/>
        </w:rPr>
        <w:t xml:space="preserve"> (precedent)</w:t>
      </w:r>
      <w:r w:rsidR="003930CE" w:rsidRPr="00673A83">
        <w:rPr>
          <w:rFonts w:ascii="Times New Roman" w:hAnsi="Times New Roman" w:cs="Times New Roman"/>
          <w:sz w:val="24"/>
          <w:szCs w:val="24"/>
        </w:rPr>
        <w:t xml:space="preserve"> that never existed,</w:t>
      </w:r>
      <w:r w:rsidR="00271224">
        <w:rPr>
          <w:rStyle w:val="EndnoteReference"/>
          <w:rFonts w:ascii="Times New Roman" w:hAnsi="Times New Roman" w:cs="Times New Roman"/>
          <w:sz w:val="24"/>
          <w:szCs w:val="24"/>
        </w:rPr>
        <w:endnoteReference w:id="52"/>
      </w:r>
      <w:r w:rsidR="003930CE" w:rsidRPr="00673A83">
        <w:rPr>
          <w:rFonts w:ascii="Times New Roman" w:hAnsi="Times New Roman" w:cs="Times New Roman"/>
          <w:sz w:val="24"/>
          <w:szCs w:val="24"/>
        </w:rPr>
        <w:t xml:space="preserve"> at least not in the place and time it was said to have</w:t>
      </w:r>
      <w:r w:rsidR="00673A83" w:rsidRPr="00673A83">
        <w:rPr>
          <w:rFonts w:ascii="Times New Roman" w:hAnsi="Times New Roman" w:cs="Times New Roman"/>
          <w:sz w:val="24"/>
          <w:szCs w:val="24"/>
        </w:rPr>
        <w:t xml:space="preserve"> (immediately after the Norman Conquest)</w:t>
      </w:r>
      <w:r w:rsidR="003930CE" w:rsidRPr="00673A83">
        <w:rPr>
          <w:rFonts w:ascii="Times New Roman" w:hAnsi="Times New Roman" w:cs="Times New Roman"/>
          <w:sz w:val="24"/>
          <w:szCs w:val="24"/>
        </w:rPr>
        <w:t xml:space="preserve"> </w:t>
      </w:r>
      <w:r w:rsidR="00673A83" w:rsidRPr="00673A83">
        <w:rPr>
          <w:rFonts w:ascii="Times New Roman" w:hAnsi="Times New Roman" w:cs="Times New Roman"/>
          <w:sz w:val="24"/>
          <w:szCs w:val="24"/>
        </w:rPr>
        <w:t>even if</w:t>
      </w:r>
      <w:r w:rsidR="003930CE" w:rsidRPr="00673A83">
        <w:rPr>
          <w:rFonts w:ascii="Times New Roman" w:hAnsi="Times New Roman" w:cs="Times New Roman"/>
          <w:sz w:val="24"/>
          <w:szCs w:val="24"/>
        </w:rPr>
        <w:t xml:space="preserve"> by the time of </w:t>
      </w:r>
      <w:r w:rsidR="003930CE" w:rsidRPr="00673A83">
        <w:rPr>
          <w:rFonts w:ascii="Times New Roman" w:hAnsi="Times New Roman" w:cs="Times New Roman"/>
          <w:i/>
          <w:sz w:val="24"/>
          <w:szCs w:val="24"/>
        </w:rPr>
        <w:t xml:space="preserve">Mabo </w:t>
      </w:r>
      <w:r w:rsidR="003930CE" w:rsidRPr="00673A83">
        <w:rPr>
          <w:rFonts w:ascii="Times New Roman" w:hAnsi="Times New Roman" w:cs="Times New Roman"/>
          <w:sz w:val="24"/>
          <w:szCs w:val="24"/>
        </w:rPr>
        <w:t xml:space="preserve">judgements </w:t>
      </w:r>
      <w:r w:rsidR="00673A83">
        <w:rPr>
          <w:rFonts w:ascii="Times New Roman" w:hAnsi="Times New Roman" w:cs="Times New Roman"/>
          <w:sz w:val="24"/>
          <w:szCs w:val="24"/>
        </w:rPr>
        <w:t xml:space="preserve">the </w:t>
      </w:r>
      <w:r w:rsidR="003930CE" w:rsidRPr="00673A83">
        <w:rPr>
          <w:rFonts w:ascii="Times New Roman" w:hAnsi="Times New Roman" w:cs="Times New Roman"/>
          <w:sz w:val="24"/>
          <w:szCs w:val="24"/>
        </w:rPr>
        <w:t xml:space="preserve">same </w:t>
      </w:r>
      <w:r w:rsidR="00673A83">
        <w:rPr>
          <w:rFonts w:ascii="Times New Roman" w:hAnsi="Times New Roman" w:cs="Times New Roman"/>
          <w:sz w:val="24"/>
          <w:szCs w:val="24"/>
        </w:rPr>
        <w:t xml:space="preserve">feudal </w:t>
      </w:r>
      <w:r w:rsidR="003930CE" w:rsidRPr="00673A83">
        <w:rPr>
          <w:rFonts w:ascii="Times New Roman" w:hAnsi="Times New Roman" w:cs="Times New Roman"/>
          <w:sz w:val="24"/>
          <w:szCs w:val="24"/>
        </w:rPr>
        <w:t>fiction had already been</w:t>
      </w:r>
      <w:r w:rsidR="00673A83">
        <w:rPr>
          <w:rFonts w:ascii="Times New Roman" w:hAnsi="Times New Roman" w:cs="Times New Roman"/>
          <w:sz w:val="24"/>
          <w:szCs w:val="24"/>
        </w:rPr>
        <w:t xml:space="preserve"> made fact by being</w:t>
      </w:r>
      <w:r w:rsidR="003930CE" w:rsidRPr="00673A83">
        <w:rPr>
          <w:rFonts w:ascii="Times New Roman" w:hAnsi="Times New Roman" w:cs="Times New Roman"/>
          <w:sz w:val="24"/>
          <w:szCs w:val="24"/>
        </w:rPr>
        <w:t xml:space="preserve"> retrospectively inserted into </w:t>
      </w:r>
      <w:r w:rsidR="00673A83">
        <w:rPr>
          <w:rFonts w:ascii="Times New Roman" w:hAnsi="Times New Roman" w:cs="Times New Roman"/>
          <w:sz w:val="24"/>
          <w:szCs w:val="24"/>
        </w:rPr>
        <w:t xml:space="preserve">history as legal precedent </w:t>
      </w:r>
      <w:r w:rsidR="00015FB3" w:rsidRPr="00673A83">
        <w:rPr>
          <w:rFonts w:ascii="Times New Roman" w:hAnsi="Times New Roman" w:cs="Times New Roman"/>
          <w:sz w:val="24"/>
          <w:szCs w:val="24"/>
        </w:rPr>
        <w:t>in other colonial contexts</w:t>
      </w:r>
      <w:r w:rsidR="003930CE" w:rsidRPr="00673A83">
        <w:rPr>
          <w:rFonts w:ascii="Times New Roman" w:hAnsi="Times New Roman" w:cs="Times New Roman"/>
          <w:sz w:val="24"/>
          <w:szCs w:val="24"/>
        </w:rPr>
        <w:t>.</w:t>
      </w:r>
      <w:r w:rsidR="00673A83">
        <w:rPr>
          <w:rStyle w:val="EndnoteReference"/>
          <w:rFonts w:ascii="Times New Roman" w:hAnsi="Times New Roman" w:cs="Times New Roman"/>
          <w:sz w:val="24"/>
          <w:szCs w:val="24"/>
        </w:rPr>
        <w:endnoteReference w:id="53"/>
      </w:r>
      <w:r w:rsidR="003930CE" w:rsidRPr="00673A83">
        <w:rPr>
          <w:rFonts w:ascii="Times New Roman" w:hAnsi="Times New Roman" w:cs="Times New Roman"/>
          <w:sz w:val="24"/>
          <w:szCs w:val="24"/>
        </w:rPr>
        <w:t xml:space="preserve"> </w:t>
      </w:r>
    </w:p>
    <w:p w14:paraId="1C1F0F9E" w14:textId="77777777" w:rsidR="003279F7" w:rsidRPr="00AF6C85" w:rsidRDefault="003279F7" w:rsidP="002C6566">
      <w:pPr>
        <w:spacing w:line="480" w:lineRule="auto"/>
        <w:rPr>
          <w:rFonts w:ascii="Times New Roman" w:hAnsi="Times New Roman" w:cs="Times New Roman"/>
          <w:sz w:val="24"/>
          <w:szCs w:val="24"/>
        </w:rPr>
      </w:pPr>
    </w:p>
    <w:p w14:paraId="30B1051C" w14:textId="7E790FDD" w:rsidR="003279F7" w:rsidRPr="00AF6C85" w:rsidRDefault="008F23C8" w:rsidP="002C6566">
      <w:pPr>
        <w:spacing w:line="480" w:lineRule="auto"/>
        <w:rPr>
          <w:rFonts w:ascii="Times New Roman" w:hAnsi="Times New Roman" w:cs="Times New Roman"/>
          <w:sz w:val="24"/>
          <w:szCs w:val="24"/>
        </w:rPr>
      </w:pPr>
      <w:r>
        <w:rPr>
          <w:rFonts w:ascii="Times New Roman" w:hAnsi="Times New Roman" w:cs="Times New Roman"/>
          <w:sz w:val="24"/>
          <w:szCs w:val="24"/>
        </w:rPr>
        <w:t xml:space="preserve">Justice Brennan’s judgement in </w:t>
      </w:r>
      <w:r w:rsidRPr="00271224">
        <w:rPr>
          <w:rFonts w:ascii="Times New Roman" w:hAnsi="Times New Roman" w:cs="Times New Roman"/>
          <w:i/>
          <w:sz w:val="24"/>
          <w:szCs w:val="24"/>
        </w:rPr>
        <w:t>Mabo</w:t>
      </w:r>
      <w:r w:rsidR="00AB0598">
        <w:rPr>
          <w:rFonts w:ascii="Times New Roman" w:hAnsi="Times New Roman" w:cs="Times New Roman"/>
          <w:sz w:val="24"/>
          <w:szCs w:val="24"/>
        </w:rPr>
        <w:t xml:space="preserve"> </w:t>
      </w:r>
      <w:r w:rsidR="00271224">
        <w:rPr>
          <w:rFonts w:ascii="Times New Roman" w:hAnsi="Times New Roman" w:cs="Times New Roman"/>
          <w:sz w:val="24"/>
          <w:szCs w:val="24"/>
        </w:rPr>
        <w:t>reveals a white Western approach to temporality</w:t>
      </w:r>
      <w:r w:rsidR="00892F20" w:rsidRPr="00AF6C85">
        <w:rPr>
          <w:rFonts w:ascii="Times New Roman" w:hAnsi="Times New Roman" w:cs="Times New Roman"/>
          <w:sz w:val="24"/>
          <w:szCs w:val="24"/>
        </w:rPr>
        <w:t>: after two centuries of English systems of land ownership it is “too late in the day” to consider implementing another system, as compared to the tens of thousands of years of Aboriginal law that have been deliber</w:t>
      </w:r>
      <w:r w:rsidR="0035454E">
        <w:rPr>
          <w:rFonts w:ascii="Times New Roman" w:hAnsi="Times New Roman" w:cs="Times New Roman"/>
          <w:sz w:val="24"/>
          <w:szCs w:val="24"/>
        </w:rPr>
        <w:t>ately and violently supplanted.</w:t>
      </w:r>
      <w:r w:rsidR="00892F20" w:rsidRPr="00AF6C85">
        <w:rPr>
          <w:rFonts w:ascii="Times New Roman" w:hAnsi="Times New Roman" w:cs="Times New Roman"/>
          <w:sz w:val="24"/>
          <w:szCs w:val="24"/>
        </w:rPr>
        <w:t xml:space="preserve"> </w:t>
      </w:r>
      <w:r w:rsidR="00271224">
        <w:rPr>
          <w:rFonts w:ascii="Times New Roman" w:hAnsi="Times New Roman" w:cs="Times New Roman"/>
          <w:sz w:val="24"/>
          <w:szCs w:val="24"/>
        </w:rPr>
        <w:t xml:space="preserve">The claim that it is too late for </w:t>
      </w:r>
      <w:r w:rsidR="00271224">
        <w:rPr>
          <w:rFonts w:ascii="Times New Roman" w:hAnsi="Times New Roman" w:cs="Times New Roman"/>
          <w:sz w:val="24"/>
          <w:szCs w:val="24"/>
        </w:rPr>
        <w:lastRenderedPageBreak/>
        <w:t>change ignores the treaties made by settler-colonial states Canada and New Zealand with Indigenous peoples in the preceding two decades.</w:t>
      </w:r>
      <w:r w:rsidR="00271224">
        <w:rPr>
          <w:rStyle w:val="EndnoteReference"/>
          <w:rFonts w:ascii="Times New Roman" w:hAnsi="Times New Roman" w:cs="Times New Roman"/>
          <w:sz w:val="24"/>
          <w:szCs w:val="24"/>
        </w:rPr>
        <w:endnoteReference w:id="54"/>
      </w:r>
      <w:r w:rsidR="00271224">
        <w:rPr>
          <w:rFonts w:ascii="Times New Roman" w:hAnsi="Times New Roman" w:cs="Times New Roman"/>
          <w:sz w:val="24"/>
          <w:szCs w:val="24"/>
        </w:rPr>
        <w:t xml:space="preserve"> </w:t>
      </w:r>
      <w:r w:rsidR="00892F20" w:rsidRPr="00AF6C85">
        <w:rPr>
          <w:rFonts w:ascii="Times New Roman" w:hAnsi="Times New Roman" w:cs="Times New Roman"/>
          <w:sz w:val="24"/>
          <w:szCs w:val="24"/>
        </w:rPr>
        <w:t>As Tuhiwai Smith states: “what makes ideas ‘real’ is the system of knowledge, the formations of culture and the relations of power in which there concepts are located.”</w:t>
      </w:r>
      <w:r w:rsidR="00892F20" w:rsidRPr="00AF6C85">
        <w:rPr>
          <w:rStyle w:val="EndnoteReference"/>
          <w:rFonts w:ascii="Times New Roman" w:hAnsi="Times New Roman" w:cs="Times New Roman"/>
          <w:sz w:val="24"/>
          <w:szCs w:val="24"/>
        </w:rPr>
        <w:endnoteReference w:id="55"/>
      </w:r>
      <w:r w:rsidR="00892F20" w:rsidRPr="00AF6C85">
        <w:rPr>
          <w:rFonts w:ascii="Times New Roman" w:hAnsi="Times New Roman" w:cs="Times New Roman"/>
          <w:sz w:val="24"/>
          <w:szCs w:val="24"/>
        </w:rPr>
        <w:t xml:space="preserve"> </w:t>
      </w:r>
      <w:r w:rsidR="00333F63">
        <w:rPr>
          <w:rFonts w:ascii="Times New Roman" w:hAnsi="Times New Roman" w:cs="Times New Roman"/>
          <w:sz w:val="24"/>
          <w:szCs w:val="24"/>
        </w:rPr>
        <w:t xml:space="preserve">The internal contradictions of temporality and justification detailed in the previous paragraph quite simply do not matter to the overall possessive logic of the judgement </w:t>
      </w:r>
      <w:r w:rsidR="00AB2923">
        <w:rPr>
          <w:rFonts w:ascii="Times New Roman" w:hAnsi="Times New Roman" w:cs="Times New Roman"/>
          <w:sz w:val="24"/>
          <w:szCs w:val="24"/>
        </w:rPr>
        <w:t>itself</w:t>
      </w:r>
      <w:r w:rsidR="00333F63">
        <w:rPr>
          <w:rFonts w:ascii="Times New Roman" w:hAnsi="Times New Roman" w:cs="Times New Roman"/>
          <w:sz w:val="24"/>
          <w:szCs w:val="24"/>
        </w:rPr>
        <w:t xml:space="preserve">. </w:t>
      </w:r>
      <w:r w:rsidR="00892F20" w:rsidRPr="00AF6C85">
        <w:rPr>
          <w:rFonts w:ascii="Times New Roman" w:hAnsi="Times New Roman" w:cs="Times New Roman"/>
          <w:sz w:val="24"/>
          <w:szCs w:val="24"/>
        </w:rPr>
        <w:t>Western</w:t>
      </w:r>
      <w:r w:rsidR="00333F63">
        <w:rPr>
          <w:rFonts w:ascii="Times New Roman" w:hAnsi="Times New Roman" w:cs="Times New Roman"/>
          <w:sz w:val="24"/>
          <w:szCs w:val="24"/>
        </w:rPr>
        <w:t>, teleological</w:t>
      </w:r>
      <w:r w:rsidR="00892F20" w:rsidRPr="00AF6C85">
        <w:rPr>
          <w:rFonts w:ascii="Times New Roman" w:hAnsi="Times New Roman" w:cs="Times New Roman"/>
          <w:sz w:val="24"/>
          <w:szCs w:val="24"/>
        </w:rPr>
        <w:t xml:space="preserve"> time matters and is made real in ways that Indigenous time does and is not; white patriarchal occupation for a relatively short period is made significant in </w:t>
      </w:r>
      <w:r>
        <w:rPr>
          <w:rFonts w:ascii="Times New Roman" w:hAnsi="Times New Roman" w:cs="Times New Roman"/>
          <w:sz w:val="24"/>
          <w:szCs w:val="24"/>
        </w:rPr>
        <w:t xml:space="preserve">Justice Brennan’s judgement </w:t>
      </w:r>
      <w:r w:rsidR="00892F20" w:rsidRPr="00AF6C85">
        <w:rPr>
          <w:rFonts w:ascii="Times New Roman" w:hAnsi="Times New Roman" w:cs="Times New Roman"/>
          <w:sz w:val="24"/>
          <w:szCs w:val="24"/>
        </w:rPr>
        <w:t xml:space="preserve">because it is understood to have changed possession of the land beyond reversal. </w:t>
      </w:r>
      <w:r w:rsidR="00892F20">
        <w:rPr>
          <w:rFonts w:ascii="Times New Roman" w:hAnsi="Times New Roman" w:cs="Times New Roman"/>
          <w:sz w:val="24"/>
          <w:szCs w:val="24"/>
        </w:rPr>
        <w:t xml:space="preserve">Imposition of colonial temporality is an assertion of control over space, of possession. </w:t>
      </w:r>
      <w:r w:rsidR="00E37C62">
        <w:rPr>
          <w:rFonts w:ascii="Times New Roman" w:hAnsi="Times New Roman" w:cs="Times New Roman"/>
          <w:sz w:val="24"/>
          <w:szCs w:val="24"/>
        </w:rPr>
        <w:t>What matter</w:t>
      </w:r>
      <w:r w:rsidR="002E5794">
        <w:rPr>
          <w:rFonts w:ascii="Times New Roman" w:hAnsi="Times New Roman" w:cs="Times New Roman"/>
          <w:sz w:val="24"/>
          <w:szCs w:val="24"/>
        </w:rPr>
        <w:t>s</w:t>
      </w:r>
      <w:r w:rsidR="00E37C62">
        <w:rPr>
          <w:rFonts w:ascii="Times New Roman" w:hAnsi="Times New Roman" w:cs="Times New Roman"/>
          <w:sz w:val="24"/>
          <w:szCs w:val="24"/>
        </w:rPr>
        <w:t xml:space="preserve"> most here </w:t>
      </w:r>
      <w:r w:rsidR="00892F20" w:rsidRPr="00AF6C85">
        <w:rPr>
          <w:rFonts w:ascii="Times New Roman" w:hAnsi="Times New Roman" w:cs="Times New Roman"/>
          <w:sz w:val="24"/>
          <w:szCs w:val="24"/>
        </w:rPr>
        <w:t>is the exercise of power</w:t>
      </w:r>
      <w:r w:rsidR="00892F20">
        <w:rPr>
          <w:rFonts w:ascii="Times New Roman" w:hAnsi="Times New Roman" w:cs="Times New Roman"/>
          <w:sz w:val="24"/>
          <w:szCs w:val="24"/>
        </w:rPr>
        <w:t xml:space="preserve"> as justified</w:t>
      </w:r>
      <w:r w:rsidR="00892F20" w:rsidRPr="00AF6C85">
        <w:rPr>
          <w:rFonts w:ascii="Times New Roman" w:hAnsi="Times New Roman" w:cs="Times New Roman"/>
          <w:sz w:val="24"/>
          <w:szCs w:val="24"/>
        </w:rPr>
        <w:t xml:space="preserve"> through the social institution of the law, not the passage of time.</w:t>
      </w:r>
    </w:p>
    <w:p w14:paraId="02B47D25" w14:textId="77777777" w:rsidR="00892F20" w:rsidRPr="00AF6C85" w:rsidRDefault="00892F20" w:rsidP="002C6566">
      <w:pPr>
        <w:spacing w:line="480" w:lineRule="auto"/>
        <w:rPr>
          <w:rFonts w:ascii="Times New Roman" w:hAnsi="Times New Roman" w:cs="Times New Roman"/>
          <w:sz w:val="24"/>
          <w:szCs w:val="24"/>
        </w:rPr>
      </w:pPr>
    </w:p>
    <w:p w14:paraId="057C2A64" w14:textId="313D5649" w:rsidR="00892F20" w:rsidRPr="00AF6C85" w:rsidRDefault="00892F20" w:rsidP="002C6566">
      <w:pPr>
        <w:spacing w:line="480" w:lineRule="auto"/>
        <w:rPr>
          <w:rFonts w:ascii="Times New Roman" w:hAnsi="Times New Roman" w:cs="Times New Roman"/>
          <w:b/>
          <w:i/>
          <w:sz w:val="24"/>
          <w:szCs w:val="24"/>
        </w:rPr>
      </w:pPr>
      <w:r w:rsidRPr="00AF6C85">
        <w:rPr>
          <w:rFonts w:ascii="Times New Roman" w:hAnsi="Times New Roman" w:cs="Times New Roman"/>
          <w:b/>
          <w:i/>
          <w:sz w:val="24"/>
          <w:szCs w:val="24"/>
        </w:rPr>
        <w:t>Medievalizing Aboriginal Law</w:t>
      </w:r>
      <w:r w:rsidR="00A83B05">
        <w:rPr>
          <w:rFonts w:ascii="Times New Roman" w:hAnsi="Times New Roman" w:cs="Times New Roman"/>
          <w:b/>
          <w:i/>
          <w:sz w:val="24"/>
          <w:szCs w:val="24"/>
        </w:rPr>
        <w:t xml:space="preserve"> after </w:t>
      </w:r>
      <w:r w:rsidR="00A83B05">
        <w:rPr>
          <w:rFonts w:ascii="Times New Roman" w:hAnsi="Times New Roman" w:cs="Times New Roman"/>
          <w:b/>
          <w:sz w:val="24"/>
          <w:szCs w:val="24"/>
        </w:rPr>
        <w:t>Mabo</w:t>
      </w:r>
    </w:p>
    <w:p w14:paraId="2222AAA8" w14:textId="2987FBB5" w:rsidR="00892F20" w:rsidRPr="00AF6C85" w:rsidRDefault="00892F20" w:rsidP="002C6566">
      <w:pPr>
        <w:spacing w:line="480" w:lineRule="auto"/>
        <w:rPr>
          <w:rFonts w:ascii="Times New Roman" w:hAnsi="Times New Roman" w:cs="Times New Roman"/>
          <w:sz w:val="24"/>
          <w:szCs w:val="24"/>
        </w:rPr>
      </w:pPr>
      <w:r w:rsidRPr="00AF6C85">
        <w:rPr>
          <w:rFonts w:ascii="Times New Roman" w:hAnsi="Times New Roman" w:cs="Times New Roman"/>
          <w:sz w:val="24"/>
          <w:szCs w:val="24"/>
        </w:rPr>
        <w:t>Indigenous people, law, and culture are often, although not always, excluded from ‘the medieval’ in white colonialist assignations of temporality as particular discursive strategies are deployed to maintain white patriarchal colonial power and control. In the post-</w:t>
      </w:r>
      <w:r w:rsidRPr="00AF6C85">
        <w:rPr>
          <w:rFonts w:ascii="Times New Roman" w:hAnsi="Times New Roman" w:cs="Times New Roman"/>
          <w:i/>
          <w:sz w:val="24"/>
          <w:szCs w:val="24"/>
        </w:rPr>
        <w:t>Mabo</w:t>
      </w:r>
      <w:r w:rsidRPr="00AF6C85">
        <w:rPr>
          <w:rFonts w:ascii="Times New Roman" w:hAnsi="Times New Roman" w:cs="Times New Roman"/>
          <w:sz w:val="24"/>
          <w:szCs w:val="24"/>
        </w:rPr>
        <w:t xml:space="preserve"> era popular, legal</w:t>
      </w:r>
      <w:r w:rsidR="001A0F3F">
        <w:rPr>
          <w:rFonts w:ascii="Times New Roman" w:hAnsi="Times New Roman" w:cs="Times New Roman"/>
          <w:sz w:val="24"/>
          <w:szCs w:val="24"/>
        </w:rPr>
        <w:t xml:space="preserve"> and academic sources have medi</w:t>
      </w:r>
      <w:r w:rsidRPr="00AF6C85">
        <w:rPr>
          <w:rFonts w:ascii="Times New Roman" w:hAnsi="Times New Roman" w:cs="Times New Roman"/>
          <w:sz w:val="24"/>
          <w:szCs w:val="24"/>
        </w:rPr>
        <w:t>e</w:t>
      </w:r>
      <w:r w:rsidR="001A0F3F">
        <w:rPr>
          <w:rFonts w:ascii="Times New Roman" w:hAnsi="Times New Roman" w:cs="Times New Roman"/>
          <w:sz w:val="24"/>
          <w:szCs w:val="24"/>
        </w:rPr>
        <w:t>v</w:t>
      </w:r>
      <w:r w:rsidRPr="00AF6C85">
        <w:rPr>
          <w:rFonts w:ascii="Times New Roman" w:hAnsi="Times New Roman" w:cs="Times New Roman"/>
          <w:sz w:val="24"/>
          <w:szCs w:val="24"/>
        </w:rPr>
        <w:t>alized Aboriginal law through assertions that it is similar in significant ways to An</w:t>
      </w:r>
      <w:r>
        <w:rPr>
          <w:rFonts w:ascii="Times New Roman" w:hAnsi="Times New Roman" w:cs="Times New Roman"/>
          <w:sz w:val="24"/>
          <w:szCs w:val="24"/>
        </w:rPr>
        <w:t>glo-Saxon law in attempts to mak</w:t>
      </w:r>
      <w:r w:rsidRPr="00AF6C85">
        <w:rPr>
          <w:rFonts w:ascii="Times New Roman" w:hAnsi="Times New Roman" w:cs="Times New Roman"/>
          <w:sz w:val="24"/>
          <w:szCs w:val="24"/>
        </w:rPr>
        <w:t>e it recognisable to the Australian common law. Aboriginal lawyer and political leader Noel Pearson has argued that “Native title is … the space between the two systems [Aboriginal law and Australian common law], where there is recognition</w:t>
      </w:r>
      <w:r w:rsidR="00AB2923">
        <w:rPr>
          <w:rFonts w:ascii="Times New Roman" w:hAnsi="Times New Roman" w:cs="Times New Roman"/>
          <w:sz w:val="24"/>
          <w:szCs w:val="24"/>
        </w:rPr>
        <w:t>.</w:t>
      </w:r>
      <w:r w:rsidRPr="00AF6C85">
        <w:rPr>
          <w:rFonts w:ascii="Times New Roman" w:hAnsi="Times New Roman" w:cs="Times New Roman"/>
          <w:sz w:val="24"/>
          <w:szCs w:val="24"/>
        </w:rPr>
        <w:t>”</w:t>
      </w:r>
      <w:r w:rsidRPr="00AF6C85">
        <w:rPr>
          <w:rStyle w:val="EndnoteReference"/>
          <w:rFonts w:ascii="Times New Roman" w:hAnsi="Times New Roman" w:cs="Times New Roman"/>
          <w:sz w:val="24"/>
          <w:szCs w:val="24"/>
        </w:rPr>
        <w:endnoteReference w:id="56"/>
      </w:r>
      <w:r w:rsidRPr="00AF6C85">
        <w:rPr>
          <w:rFonts w:ascii="Times New Roman" w:hAnsi="Times New Roman" w:cs="Times New Roman"/>
          <w:sz w:val="24"/>
          <w:szCs w:val="24"/>
        </w:rPr>
        <w:t xml:space="preserve"> </w:t>
      </w:r>
      <w:r w:rsidR="00AB2923">
        <w:rPr>
          <w:rFonts w:ascii="Times New Roman" w:hAnsi="Times New Roman" w:cs="Times New Roman"/>
          <w:sz w:val="24"/>
          <w:szCs w:val="24"/>
        </w:rPr>
        <w:t>C</w:t>
      </w:r>
      <w:r w:rsidRPr="00AF6C85">
        <w:rPr>
          <w:rFonts w:ascii="Times New Roman" w:hAnsi="Times New Roman" w:cs="Times New Roman"/>
          <w:sz w:val="24"/>
          <w:szCs w:val="24"/>
        </w:rPr>
        <w:t>omparisons</w:t>
      </w:r>
      <w:r w:rsidR="000B5DEF">
        <w:rPr>
          <w:rFonts w:ascii="Times New Roman" w:hAnsi="Times New Roman" w:cs="Times New Roman"/>
          <w:sz w:val="24"/>
          <w:szCs w:val="24"/>
        </w:rPr>
        <w:t xml:space="preserve"> of Aboriginal and Anglo-Saxon law</w:t>
      </w:r>
      <w:r w:rsidRPr="00AF6C85">
        <w:rPr>
          <w:rFonts w:ascii="Times New Roman" w:hAnsi="Times New Roman" w:cs="Times New Roman"/>
          <w:sz w:val="24"/>
          <w:szCs w:val="24"/>
        </w:rPr>
        <w:t xml:space="preserve"> can arguably be read as exemplary of attempts to create such spaces.  However, when </w:t>
      </w:r>
      <w:r w:rsidR="00AB2923">
        <w:rPr>
          <w:rFonts w:ascii="Times New Roman" w:hAnsi="Times New Roman" w:cs="Times New Roman"/>
          <w:sz w:val="24"/>
          <w:szCs w:val="24"/>
        </w:rPr>
        <w:t>that comparison is made</w:t>
      </w:r>
      <w:r w:rsidR="000B5DEF">
        <w:rPr>
          <w:rFonts w:ascii="Times New Roman" w:hAnsi="Times New Roman" w:cs="Times New Roman"/>
          <w:sz w:val="24"/>
          <w:szCs w:val="24"/>
        </w:rPr>
        <w:t xml:space="preserve"> through</w:t>
      </w:r>
      <w:r w:rsidRPr="00AF6C85">
        <w:rPr>
          <w:rFonts w:ascii="Times New Roman" w:hAnsi="Times New Roman" w:cs="Times New Roman"/>
          <w:sz w:val="24"/>
          <w:szCs w:val="24"/>
        </w:rPr>
        <w:t xml:space="preserve"> reference to a </w:t>
      </w:r>
      <w:r w:rsidR="000B5DEF">
        <w:rPr>
          <w:rFonts w:ascii="Times New Roman" w:hAnsi="Times New Roman" w:cs="Times New Roman"/>
          <w:sz w:val="24"/>
          <w:szCs w:val="24"/>
        </w:rPr>
        <w:t xml:space="preserve">specifically </w:t>
      </w:r>
      <w:r w:rsidRPr="00AF6C85">
        <w:rPr>
          <w:rFonts w:ascii="Times New Roman" w:hAnsi="Times New Roman" w:cs="Times New Roman"/>
          <w:sz w:val="24"/>
          <w:szCs w:val="24"/>
        </w:rPr>
        <w:t xml:space="preserve">racial </w:t>
      </w:r>
      <w:r w:rsidR="000B5DEF">
        <w:rPr>
          <w:rFonts w:ascii="Times New Roman" w:hAnsi="Times New Roman" w:cs="Times New Roman"/>
          <w:sz w:val="24"/>
          <w:szCs w:val="24"/>
        </w:rPr>
        <w:t xml:space="preserve">and anachronistic </w:t>
      </w:r>
      <w:r w:rsidRPr="00AF6C85">
        <w:rPr>
          <w:rFonts w:ascii="Times New Roman" w:hAnsi="Times New Roman" w:cs="Times New Roman"/>
          <w:sz w:val="24"/>
          <w:szCs w:val="24"/>
        </w:rPr>
        <w:t>concept of identity – the Anglo-Saxon –</w:t>
      </w:r>
      <w:r w:rsidR="00FE6C5C">
        <w:rPr>
          <w:rFonts w:ascii="Times New Roman" w:hAnsi="Times New Roman" w:cs="Times New Roman"/>
          <w:sz w:val="24"/>
          <w:szCs w:val="24"/>
        </w:rPr>
        <w:t xml:space="preserve"> </w:t>
      </w:r>
      <w:r w:rsidRPr="00AF6C85">
        <w:rPr>
          <w:rFonts w:ascii="Times New Roman" w:hAnsi="Times New Roman" w:cs="Times New Roman"/>
          <w:sz w:val="24"/>
          <w:szCs w:val="24"/>
        </w:rPr>
        <w:t xml:space="preserve">that is </w:t>
      </w:r>
      <w:r w:rsidR="007167CB">
        <w:rPr>
          <w:rFonts w:ascii="Times New Roman" w:hAnsi="Times New Roman" w:cs="Times New Roman"/>
          <w:sz w:val="24"/>
          <w:szCs w:val="24"/>
        </w:rPr>
        <w:t>directly</w:t>
      </w:r>
      <w:r w:rsidRPr="00AF6C85">
        <w:rPr>
          <w:rFonts w:ascii="Times New Roman" w:hAnsi="Times New Roman" w:cs="Times New Roman"/>
          <w:sz w:val="24"/>
          <w:szCs w:val="24"/>
        </w:rPr>
        <w:t xml:space="preserve"> linked to a time-period understood</w:t>
      </w:r>
      <w:r w:rsidR="000B5DEF">
        <w:rPr>
          <w:rFonts w:ascii="Times New Roman" w:hAnsi="Times New Roman" w:cs="Times New Roman"/>
          <w:sz w:val="24"/>
          <w:szCs w:val="24"/>
        </w:rPr>
        <w:t xml:space="preserve"> as</w:t>
      </w:r>
      <w:r w:rsidRPr="00AF6C85">
        <w:rPr>
          <w:rFonts w:ascii="Times New Roman" w:hAnsi="Times New Roman" w:cs="Times New Roman"/>
          <w:sz w:val="24"/>
          <w:szCs w:val="24"/>
        </w:rPr>
        <w:t xml:space="preserve"> </w:t>
      </w:r>
      <w:r w:rsidRPr="00AF6C85">
        <w:rPr>
          <w:rFonts w:ascii="Times New Roman" w:hAnsi="Times New Roman" w:cs="Times New Roman"/>
          <w:sz w:val="24"/>
          <w:szCs w:val="24"/>
        </w:rPr>
        <w:lastRenderedPageBreak/>
        <w:t>medieval and therefore</w:t>
      </w:r>
      <w:r w:rsidR="00AB2923">
        <w:rPr>
          <w:rFonts w:ascii="Times New Roman" w:hAnsi="Times New Roman" w:cs="Times New Roman"/>
          <w:sz w:val="24"/>
          <w:szCs w:val="24"/>
        </w:rPr>
        <w:t xml:space="preserve"> inherently</w:t>
      </w:r>
      <w:r w:rsidRPr="00AF6C85">
        <w:rPr>
          <w:rFonts w:ascii="Times New Roman" w:hAnsi="Times New Roman" w:cs="Times New Roman"/>
          <w:sz w:val="24"/>
          <w:szCs w:val="24"/>
        </w:rPr>
        <w:t xml:space="preserve"> premodern, Indigenous peoples, cultures, and social systems are positioned as less developed than settler colonial modernity.</w:t>
      </w:r>
    </w:p>
    <w:p w14:paraId="56D58D9B" w14:textId="77777777" w:rsidR="00892F20" w:rsidRPr="00AF6C85" w:rsidRDefault="00892F20" w:rsidP="002C6566">
      <w:pPr>
        <w:spacing w:line="480" w:lineRule="auto"/>
        <w:rPr>
          <w:rFonts w:ascii="Times New Roman" w:hAnsi="Times New Roman" w:cs="Times New Roman"/>
          <w:sz w:val="24"/>
          <w:szCs w:val="24"/>
        </w:rPr>
      </w:pPr>
    </w:p>
    <w:p w14:paraId="5F853F93" w14:textId="243577E6" w:rsidR="00892F20" w:rsidRPr="002E5794" w:rsidRDefault="00892F20" w:rsidP="002C6566">
      <w:pPr>
        <w:spacing w:line="480" w:lineRule="auto"/>
        <w:rPr>
          <w:rFonts w:ascii="Times New Roman" w:hAnsi="Times New Roman" w:cs="Times New Roman"/>
          <w:b/>
          <w:sz w:val="24"/>
          <w:szCs w:val="24"/>
        </w:rPr>
      </w:pPr>
      <w:r w:rsidRPr="00AF6C85">
        <w:rPr>
          <w:rFonts w:ascii="Times New Roman" w:hAnsi="Times New Roman" w:cs="Times New Roman"/>
          <w:sz w:val="24"/>
          <w:szCs w:val="24"/>
        </w:rPr>
        <w:t xml:space="preserve">A Screen Australia Digital Learning website based on the documentary </w:t>
      </w:r>
      <w:r w:rsidRPr="00AF6C85">
        <w:rPr>
          <w:rFonts w:ascii="Times New Roman" w:hAnsi="Times New Roman" w:cs="Times New Roman"/>
          <w:i/>
          <w:sz w:val="24"/>
          <w:szCs w:val="24"/>
        </w:rPr>
        <w:t>Mabo: the Native Title Revolution</w:t>
      </w:r>
      <w:r w:rsidR="00A83B05">
        <w:rPr>
          <w:rFonts w:ascii="Times New Roman" w:hAnsi="Times New Roman" w:cs="Times New Roman"/>
          <w:sz w:val="24"/>
          <w:szCs w:val="24"/>
        </w:rPr>
        <w:t>,</w:t>
      </w:r>
      <w:r w:rsidRPr="00AF6C85">
        <w:rPr>
          <w:rFonts w:ascii="Times New Roman" w:hAnsi="Times New Roman" w:cs="Times New Roman"/>
          <w:sz w:val="24"/>
          <w:szCs w:val="24"/>
        </w:rPr>
        <w:t xml:space="preserve"> for example, draws connections between English Common Law and Aboriginal law in its exploration of the case and its significance: “the laws of England originally consisted of local customs, which differed from region to region, much like the customary law Aboriginal Australians.”</w:t>
      </w:r>
      <w:r w:rsidRPr="00AF6C85">
        <w:rPr>
          <w:rStyle w:val="EndnoteReference"/>
          <w:rFonts w:ascii="Times New Roman" w:hAnsi="Times New Roman" w:cs="Times New Roman"/>
          <w:sz w:val="24"/>
          <w:szCs w:val="24"/>
        </w:rPr>
        <w:endnoteReference w:id="57"/>
      </w:r>
      <w:r w:rsidR="00BF1AD3">
        <w:rPr>
          <w:rFonts w:ascii="Times New Roman" w:hAnsi="Times New Roman" w:cs="Times New Roman"/>
          <w:sz w:val="24"/>
          <w:szCs w:val="24"/>
        </w:rPr>
        <w:t xml:space="preserve"> </w:t>
      </w:r>
      <w:r w:rsidRPr="00AF6C85">
        <w:rPr>
          <w:rFonts w:ascii="Times New Roman" w:hAnsi="Times New Roman" w:cs="Times New Roman"/>
          <w:sz w:val="24"/>
          <w:szCs w:val="24"/>
        </w:rPr>
        <w:t xml:space="preserve">That such a comparison needs to be made </w:t>
      </w:r>
      <w:r w:rsidR="007167CB">
        <w:rPr>
          <w:rFonts w:ascii="Times New Roman" w:hAnsi="Times New Roman" w:cs="Times New Roman"/>
          <w:sz w:val="24"/>
          <w:szCs w:val="24"/>
        </w:rPr>
        <w:t>is arguably an assertion of</w:t>
      </w:r>
      <w:r w:rsidRPr="00AF6C85">
        <w:rPr>
          <w:rFonts w:ascii="Times New Roman" w:hAnsi="Times New Roman" w:cs="Times New Roman"/>
          <w:sz w:val="24"/>
          <w:szCs w:val="24"/>
        </w:rPr>
        <w:t xml:space="preserve"> white colonial power: Indigenous law must, in such formulations, be legitimised in ways that render it intelligible to colonial mindsets and systems in order to be recognised and treated as law (rather than custom, superstition, tradition etc). Very similar assertions have been made in legal contexts. A 2003 background paper prepared for the Northern Territory  Committee of Inquiry into Aboriginal Customary Law outlines “how the assertion of British sovereignty</w:t>
      </w:r>
      <w:r>
        <w:rPr>
          <w:rFonts w:ascii="Times New Roman" w:hAnsi="Times New Roman" w:cs="Times New Roman"/>
          <w:sz w:val="24"/>
          <w:szCs w:val="24"/>
        </w:rPr>
        <w:t>” produced an</w:t>
      </w:r>
      <w:r w:rsidRPr="00AF6C85">
        <w:rPr>
          <w:rFonts w:ascii="Times New Roman" w:hAnsi="Times New Roman" w:cs="Times New Roman"/>
          <w:sz w:val="24"/>
          <w:szCs w:val="24"/>
        </w:rPr>
        <w:t xml:space="preserve"> Australian legal system </w:t>
      </w:r>
      <w:r>
        <w:rPr>
          <w:rFonts w:ascii="Times New Roman" w:hAnsi="Times New Roman" w:cs="Times New Roman"/>
          <w:sz w:val="24"/>
          <w:szCs w:val="24"/>
        </w:rPr>
        <w:t>“</w:t>
      </w:r>
      <w:r w:rsidRPr="00AF6C85">
        <w:rPr>
          <w:rFonts w:ascii="Times New Roman" w:hAnsi="Times New Roman" w:cs="Times New Roman"/>
          <w:sz w:val="24"/>
          <w:szCs w:val="24"/>
        </w:rPr>
        <w:t>that denied any general recognition of Aboriginal law” and presents an argument for “recognition of Aboriginal law as law</w:t>
      </w:r>
      <w:r>
        <w:rPr>
          <w:rFonts w:ascii="Times New Roman" w:hAnsi="Times New Roman" w:cs="Times New Roman"/>
          <w:sz w:val="24"/>
          <w:szCs w:val="24"/>
        </w:rPr>
        <w:t>.”</w:t>
      </w:r>
      <w:r w:rsidRPr="00AF6C85">
        <w:rPr>
          <w:rStyle w:val="EndnoteReference"/>
          <w:rFonts w:ascii="Times New Roman" w:hAnsi="Times New Roman" w:cs="Times New Roman"/>
          <w:sz w:val="24"/>
          <w:szCs w:val="24"/>
        </w:rPr>
        <w:endnoteReference w:id="58"/>
      </w:r>
      <w:r w:rsidRPr="00AF6C85">
        <w:rPr>
          <w:rFonts w:ascii="Times New Roman" w:hAnsi="Times New Roman" w:cs="Times New Roman"/>
          <w:b/>
          <w:sz w:val="24"/>
          <w:szCs w:val="24"/>
        </w:rPr>
        <w:t xml:space="preserve"> </w:t>
      </w:r>
      <w:r w:rsidR="002E5794">
        <w:rPr>
          <w:rFonts w:ascii="Times New Roman" w:hAnsi="Times New Roman" w:cs="Times New Roman"/>
          <w:sz w:val="24"/>
          <w:szCs w:val="24"/>
        </w:rPr>
        <w:t>T</w:t>
      </w:r>
      <w:r w:rsidRPr="00AF6C85">
        <w:rPr>
          <w:rFonts w:ascii="Times New Roman" w:hAnsi="Times New Roman" w:cs="Times New Roman"/>
          <w:sz w:val="24"/>
          <w:szCs w:val="24"/>
        </w:rPr>
        <w:t>he paper includes several paragraphs comparing Aboriginal and Anglo-Saxon law in England from the sixth-century to the 1066 Norman Conquest</w:t>
      </w:r>
      <w:r w:rsidR="002E5794">
        <w:rPr>
          <w:rFonts w:ascii="Times New Roman" w:hAnsi="Times New Roman" w:cs="Times New Roman"/>
          <w:sz w:val="24"/>
          <w:szCs w:val="24"/>
        </w:rPr>
        <w:t xml:space="preserve"> to suggest that the former</w:t>
      </w:r>
      <w:r w:rsidR="002E5794" w:rsidRPr="00AF6C85">
        <w:rPr>
          <w:rFonts w:ascii="Times New Roman" w:hAnsi="Times New Roman" w:cs="Times New Roman"/>
          <w:sz w:val="24"/>
          <w:szCs w:val="24"/>
        </w:rPr>
        <w:t xml:space="preserve"> can be recognised by the Australian legal system with its common law roots in the English code</w:t>
      </w:r>
      <w:r w:rsidRPr="00AF6C85">
        <w:rPr>
          <w:rFonts w:ascii="Times New Roman" w:hAnsi="Times New Roman" w:cs="Times New Roman"/>
          <w:sz w:val="24"/>
          <w:szCs w:val="24"/>
        </w:rPr>
        <w:t xml:space="preserve">. The </w:t>
      </w:r>
      <w:r w:rsidR="00DD6014">
        <w:rPr>
          <w:rFonts w:ascii="Times New Roman" w:hAnsi="Times New Roman" w:cs="Times New Roman"/>
          <w:sz w:val="24"/>
          <w:szCs w:val="24"/>
        </w:rPr>
        <w:t xml:space="preserve">comparison is made in service of an argument that Aboriginal law </w:t>
      </w:r>
      <w:r w:rsidR="00272A7E">
        <w:rPr>
          <w:rFonts w:ascii="Times New Roman" w:hAnsi="Times New Roman" w:cs="Times New Roman"/>
          <w:sz w:val="24"/>
          <w:szCs w:val="24"/>
        </w:rPr>
        <w:t>could be recognised in the Australian settler colonial system</w:t>
      </w:r>
      <w:r w:rsidRPr="00AF6C85">
        <w:rPr>
          <w:rFonts w:ascii="Times New Roman" w:hAnsi="Times New Roman" w:cs="Times New Roman"/>
          <w:sz w:val="24"/>
          <w:szCs w:val="24"/>
        </w:rPr>
        <w:t xml:space="preserve">. Comparisons like </w:t>
      </w:r>
      <w:r w:rsidR="002E5794">
        <w:rPr>
          <w:rFonts w:ascii="Times New Roman" w:hAnsi="Times New Roman" w:cs="Times New Roman"/>
          <w:sz w:val="24"/>
          <w:szCs w:val="24"/>
        </w:rPr>
        <w:t>these</w:t>
      </w:r>
      <w:r w:rsidRPr="00AF6C85">
        <w:rPr>
          <w:rFonts w:ascii="Times New Roman" w:hAnsi="Times New Roman" w:cs="Times New Roman"/>
          <w:sz w:val="24"/>
          <w:szCs w:val="24"/>
        </w:rPr>
        <w:t xml:space="preserve"> are generally made with the</w:t>
      </w:r>
      <w:r w:rsidR="00A83B05">
        <w:rPr>
          <w:rFonts w:ascii="Times New Roman" w:hAnsi="Times New Roman" w:cs="Times New Roman"/>
          <w:sz w:val="24"/>
          <w:szCs w:val="24"/>
        </w:rPr>
        <w:t xml:space="preserve"> apparent or stated</w:t>
      </w:r>
      <w:r w:rsidRPr="00AF6C85">
        <w:rPr>
          <w:rFonts w:ascii="Times New Roman" w:hAnsi="Times New Roman" w:cs="Times New Roman"/>
          <w:sz w:val="24"/>
          <w:szCs w:val="24"/>
        </w:rPr>
        <w:t xml:space="preserve"> aim of improving Indigenous self-determination</w:t>
      </w:r>
      <w:r w:rsidR="00272A7E">
        <w:rPr>
          <w:rFonts w:ascii="Times New Roman" w:hAnsi="Times New Roman" w:cs="Times New Roman"/>
          <w:sz w:val="24"/>
          <w:szCs w:val="24"/>
        </w:rPr>
        <w:t xml:space="preserve"> and social outcomes,</w:t>
      </w:r>
      <w:r w:rsidR="00272A7E">
        <w:rPr>
          <w:rStyle w:val="EndnoteReference"/>
          <w:rFonts w:ascii="Times New Roman" w:hAnsi="Times New Roman" w:cs="Times New Roman"/>
          <w:sz w:val="24"/>
          <w:szCs w:val="24"/>
        </w:rPr>
        <w:endnoteReference w:id="59"/>
      </w:r>
      <w:r w:rsidRPr="00AF6C85">
        <w:rPr>
          <w:rFonts w:ascii="Times New Roman" w:hAnsi="Times New Roman" w:cs="Times New Roman"/>
          <w:sz w:val="24"/>
          <w:szCs w:val="24"/>
        </w:rPr>
        <w:t xml:space="preserve"> but con</w:t>
      </w:r>
      <w:r>
        <w:rPr>
          <w:rFonts w:ascii="Times New Roman" w:hAnsi="Times New Roman" w:cs="Times New Roman"/>
          <w:sz w:val="24"/>
          <w:szCs w:val="24"/>
        </w:rPr>
        <w:t>sidering them through the lens</w:t>
      </w:r>
      <w:r w:rsidRPr="00AF6C85">
        <w:rPr>
          <w:rFonts w:ascii="Times New Roman" w:hAnsi="Times New Roman" w:cs="Times New Roman"/>
          <w:sz w:val="24"/>
          <w:szCs w:val="24"/>
        </w:rPr>
        <w:t xml:space="preserve"> of medievalism illuminates underlying logics of white possession. </w:t>
      </w:r>
    </w:p>
    <w:p w14:paraId="1DCA1250" w14:textId="68827C8C" w:rsidR="001928B2" w:rsidRPr="00AF6C85" w:rsidRDefault="001928B2" w:rsidP="002C6566">
      <w:pPr>
        <w:spacing w:line="480" w:lineRule="auto"/>
        <w:rPr>
          <w:rFonts w:ascii="Times New Roman" w:hAnsi="Times New Roman" w:cs="Times New Roman"/>
          <w:sz w:val="24"/>
          <w:szCs w:val="24"/>
        </w:rPr>
      </w:pPr>
    </w:p>
    <w:p w14:paraId="7B2823F8" w14:textId="7A2DA295" w:rsidR="00892F20" w:rsidRPr="00AF6C85" w:rsidRDefault="001928B2" w:rsidP="002C656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C</w:t>
      </w:r>
      <w:r w:rsidR="00892F20" w:rsidRPr="00AF6C85">
        <w:rPr>
          <w:rFonts w:ascii="Times New Roman" w:hAnsi="Times New Roman" w:cs="Times New Roman"/>
          <w:sz w:val="24"/>
          <w:szCs w:val="24"/>
        </w:rPr>
        <w:t>omparison</w:t>
      </w:r>
      <w:r>
        <w:rPr>
          <w:rFonts w:ascii="Times New Roman" w:hAnsi="Times New Roman" w:cs="Times New Roman"/>
          <w:sz w:val="24"/>
          <w:szCs w:val="24"/>
        </w:rPr>
        <w:t>s of Anglo-Saxon and Indigenous law</w:t>
      </w:r>
      <w:r w:rsidR="00892F20" w:rsidRPr="00AF6C85">
        <w:rPr>
          <w:rFonts w:ascii="Times New Roman" w:hAnsi="Times New Roman" w:cs="Times New Roman"/>
          <w:sz w:val="24"/>
          <w:szCs w:val="24"/>
        </w:rPr>
        <w:t xml:space="preserve"> </w:t>
      </w:r>
      <w:r>
        <w:rPr>
          <w:rFonts w:ascii="Times New Roman" w:hAnsi="Times New Roman" w:cs="Times New Roman"/>
          <w:sz w:val="24"/>
          <w:szCs w:val="24"/>
        </w:rPr>
        <w:t>bear</w:t>
      </w:r>
      <w:r w:rsidR="00892F20" w:rsidRPr="00AF6C85">
        <w:rPr>
          <w:rFonts w:ascii="Times New Roman" w:hAnsi="Times New Roman" w:cs="Times New Roman"/>
          <w:sz w:val="24"/>
          <w:szCs w:val="24"/>
        </w:rPr>
        <w:t xml:space="preserve"> some striking similarities to the colonialist temporality evident in the quotation from Percy’s </w:t>
      </w:r>
      <w:r w:rsidR="00892F20" w:rsidRPr="00AF6C85">
        <w:rPr>
          <w:rFonts w:ascii="Times New Roman" w:hAnsi="Times New Roman" w:cs="Times New Roman"/>
          <w:i/>
          <w:sz w:val="24"/>
          <w:szCs w:val="24"/>
        </w:rPr>
        <w:t>Northern Antiquities</w:t>
      </w:r>
      <w:r w:rsidR="00892F20" w:rsidRPr="00AF6C85">
        <w:rPr>
          <w:rFonts w:ascii="Times New Roman" w:hAnsi="Times New Roman" w:cs="Times New Roman"/>
          <w:sz w:val="24"/>
          <w:szCs w:val="24"/>
        </w:rPr>
        <w:t xml:space="preserve"> with which this article begins. Percy framed the Cherokee as “wild’ because they were medieval in the modern present of the mid-eighteenth-century, rendering them ‘out of time’ – backward, un-progressive and un-progressed. Comparing Aboriginal law as it is practiced in the modern present of the twenty-first century with Anglo-Saxon law medievalizes Aboriginal people, again placing them outside modernity. José Rabasa, writing of the Mesoamerican context, argues that:</w:t>
      </w:r>
    </w:p>
    <w:p w14:paraId="613E030A" w14:textId="585F23B6" w:rsidR="00892F20" w:rsidRPr="00AF6C85" w:rsidRDefault="00892F20" w:rsidP="003419B1">
      <w:pPr>
        <w:spacing w:line="480" w:lineRule="auto"/>
        <w:ind w:left="567"/>
        <w:rPr>
          <w:rFonts w:ascii="Times New Roman" w:hAnsi="Times New Roman" w:cs="Times New Roman"/>
          <w:sz w:val="24"/>
          <w:szCs w:val="24"/>
        </w:rPr>
      </w:pPr>
      <w:r w:rsidRPr="00AF6C85">
        <w:rPr>
          <w:rFonts w:ascii="Times New Roman" w:hAnsi="Times New Roman" w:cs="Times New Roman"/>
          <w:sz w:val="24"/>
          <w:szCs w:val="24"/>
        </w:rPr>
        <w:t>Classifying indigenous cultures, languages, and institutions as medieval is not a mere exercise in historical taxonomy but an insertion within a teleology. The epistemic violence of the comparison may be saying that, just as medieval society was bound to become modern … indigenous cultures today must give way to modernity.</w:t>
      </w:r>
      <w:r w:rsidRPr="00AF6C85">
        <w:rPr>
          <w:rStyle w:val="EndnoteReference"/>
          <w:rFonts w:ascii="Times New Roman" w:hAnsi="Times New Roman" w:cs="Times New Roman"/>
          <w:sz w:val="24"/>
          <w:szCs w:val="24"/>
        </w:rPr>
        <w:endnoteReference w:id="60"/>
      </w:r>
    </w:p>
    <w:p w14:paraId="1D8D19EF" w14:textId="4871DB14" w:rsidR="00C96FF4" w:rsidRPr="00AF6C85" w:rsidRDefault="00892F20" w:rsidP="002C6566">
      <w:pPr>
        <w:spacing w:line="480" w:lineRule="auto"/>
        <w:rPr>
          <w:rFonts w:ascii="Times New Roman" w:hAnsi="Times New Roman" w:cs="Times New Roman"/>
          <w:sz w:val="24"/>
          <w:szCs w:val="24"/>
        </w:rPr>
      </w:pPr>
      <w:r w:rsidRPr="00AF6C85">
        <w:rPr>
          <w:rFonts w:ascii="Times New Roman" w:hAnsi="Times New Roman" w:cs="Times New Roman"/>
          <w:sz w:val="24"/>
          <w:szCs w:val="24"/>
        </w:rPr>
        <w:t>Assigning premodernity to Aboriginal law positions it – and the people for whom it is current – within a paradigm that locates Indigenous society as always ‘behind’ Australian modernity, always on the brink of</w:t>
      </w:r>
      <w:r w:rsidR="00A83B05">
        <w:rPr>
          <w:rFonts w:ascii="Times New Roman" w:hAnsi="Times New Roman" w:cs="Times New Roman"/>
          <w:sz w:val="24"/>
          <w:szCs w:val="24"/>
        </w:rPr>
        <w:t xml:space="preserve"> but</w:t>
      </w:r>
      <w:r w:rsidR="00272A7E">
        <w:rPr>
          <w:rFonts w:ascii="Times New Roman" w:hAnsi="Times New Roman" w:cs="Times New Roman"/>
          <w:sz w:val="24"/>
          <w:szCs w:val="24"/>
        </w:rPr>
        <w:t xml:space="preserve"> </w:t>
      </w:r>
      <w:r w:rsidR="00A83B05">
        <w:rPr>
          <w:rFonts w:ascii="Times New Roman" w:hAnsi="Times New Roman" w:cs="Times New Roman"/>
          <w:sz w:val="24"/>
          <w:szCs w:val="24"/>
        </w:rPr>
        <w:t>never achieving</w:t>
      </w:r>
      <w:r w:rsidRPr="00AF6C85">
        <w:rPr>
          <w:rFonts w:ascii="Times New Roman" w:hAnsi="Times New Roman" w:cs="Times New Roman"/>
          <w:sz w:val="24"/>
          <w:szCs w:val="24"/>
        </w:rPr>
        <w:t xml:space="preserve"> ‘progress’ into it – a progress that can only lead to the erasure of that very indigeneity that is conceived of as inherently premodern. As Kowal argues, even in Western institutions shaped by progressive politics that aim to improve the lives of Indigenous people, “the melding of culture, time and Aboriginal personhood produces both the perpetual ending of indigeneity and the perpetual newness of modernity.”</w:t>
      </w:r>
      <w:r w:rsidRPr="00AF6C85">
        <w:rPr>
          <w:rStyle w:val="EndnoteReference"/>
          <w:rFonts w:ascii="Times New Roman" w:hAnsi="Times New Roman" w:cs="Times New Roman"/>
          <w:sz w:val="24"/>
          <w:szCs w:val="24"/>
        </w:rPr>
        <w:endnoteReference w:id="61"/>
      </w:r>
      <w:r w:rsidRPr="00AF6C85">
        <w:rPr>
          <w:rFonts w:ascii="Times New Roman" w:hAnsi="Times New Roman" w:cs="Times New Roman"/>
          <w:sz w:val="24"/>
          <w:szCs w:val="24"/>
        </w:rPr>
        <w:t xml:space="preserve"> The deep structures of colonial thought still frame</w:t>
      </w:r>
      <w:r w:rsidR="00AB2923">
        <w:rPr>
          <w:rFonts w:ascii="Times New Roman" w:hAnsi="Times New Roman" w:cs="Times New Roman"/>
          <w:sz w:val="24"/>
          <w:szCs w:val="24"/>
        </w:rPr>
        <w:t xml:space="preserve"> many</w:t>
      </w:r>
      <w:r w:rsidRPr="00AF6C85">
        <w:rPr>
          <w:rFonts w:ascii="Times New Roman" w:hAnsi="Times New Roman" w:cs="Times New Roman"/>
          <w:sz w:val="24"/>
          <w:szCs w:val="24"/>
        </w:rPr>
        <w:t xml:space="preserve"> attempts to ameliorate the catastrophic effects of colonisation on Indigenous lives.</w:t>
      </w:r>
      <w:r w:rsidR="00665409">
        <w:rPr>
          <w:rFonts w:ascii="Times New Roman" w:hAnsi="Times New Roman" w:cs="Times New Roman"/>
          <w:sz w:val="24"/>
          <w:szCs w:val="24"/>
        </w:rPr>
        <w:t xml:space="preserve"> </w:t>
      </w:r>
      <w:r w:rsidR="00AB2923">
        <w:rPr>
          <w:rFonts w:ascii="Times New Roman" w:hAnsi="Times New Roman" w:cs="Times New Roman"/>
          <w:sz w:val="24"/>
          <w:szCs w:val="24"/>
        </w:rPr>
        <w:t xml:space="preserve">This is not to suggest that there is no potential for </w:t>
      </w:r>
      <w:r w:rsidR="00CE4780">
        <w:rPr>
          <w:rFonts w:ascii="Times New Roman" w:hAnsi="Times New Roman" w:cs="Times New Roman"/>
          <w:sz w:val="24"/>
          <w:szCs w:val="24"/>
        </w:rPr>
        <w:t>productive</w:t>
      </w:r>
      <w:r w:rsidR="00AB2923">
        <w:rPr>
          <w:rFonts w:ascii="Times New Roman" w:hAnsi="Times New Roman" w:cs="Times New Roman"/>
          <w:sz w:val="24"/>
          <w:szCs w:val="24"/>
        </w:rPr>
        <w:t xml:space="preserve"> engagements of medievalisms and Indigenous cultures in Australia. Jenna Mead </w:t>
      </w:r>
      <w:r w:rsidR="00CE4780">
        <w:rPr>
          <w:rFonts w:ascii="Times New Roman" w:hAnsi="Times New Roman" w:cs="Times New Roman"/>
          <w:sz w:val="24"/>
          <w:szCs w:val="24"/>
        </w:rPr>
        <w:t>argues that what she terms “medi</w:t>
      </w:r>
      <w:r w:rsidR="00665409">
        <w:rPr>
          <w:rFonts w:ascii="Times New Roman" w:hAnsi="Times New Roman" w:cs="Times New Roman"/>
          <w:sz w:val="24"/>
          <w:szCs w:val="24"/>
        </w:rPr>
        <w:t>e</w:t>
      </w:r>
      <w:r w:rsidR="00CE4780">
        <w:rPr>
          <w:rFonts w:ascii="Times New Roman" w:hAnsi="Times New Roman" w:cs="Times New Roman"/>
          <w:sz w:val="24"/>
          <w:szCs w:val="24"/>
        </w:rPr>
        <w:t xml:space="preserve">valism on Country creates a temporality for balanda [non-Indigenous Australians] that is proximate to, folded alongside, interpellates … with Yolnju [an Indigenous people]” in political ways that </w:t>
      </w:r>
      <w:r w:rsidR="00665409">
        <w:rPr>
          <w:rFonts w:ascii="Times New Roman" w:hAnsi="Times New Roman" w:cs="Times New Roman"/>
          <w:sz w:val="24"/>
          <w:szCs w:val="24"/>
        </w:rPr>
        <w:t xml:space="preserve">envisage futures with deeper </w:t>
      </w:r>
      <w:r w:rsidR="00665409">
        <w:rPr>
          <w:rFonts w:ascii="Times New Roman" w:hAnsi="Times New Roman" w:cs="Times New Roman"/>
          <w:sz w:val="24"/>
          <w:szCs w:val="24"/>
        </w:rPr>
        <w:lastRenderedPageBreak/>
        <w:t>engagements between Indigenous and non-Indigenous Australians.</w:t>
      </w:r>
      <w:r w:rsidR="00665409">
        <w:rPr>
          <w:rStyle w:val="EndnoteReference"/>
          <w:rFonts w:ascii="Times New Roman" w:hAnsi="Times New Roman" w:cs="Times New Roman"/>
          <w:sz w:val="24"/>
          <w:szCs w:val="24"/>
        </w:rPr>
        <w:endnoteReference w:id="62"/>
      </w:r>
      <w:r w:rsidR="00665409">
        <w:rPr>
          <w:rFonts w:ascii="Times New Roman" w:hAnsi="Times New Roman" w:cs="Times New Roman"/>
          <w:sz w:val="24"/>
          <w:szCs w:val="24"/>
        </w:rPr>
        <w:t xml:space="preserve"> Such temporalities are markedly, profoundly different from those constructed by simple comparisons; they are structured by mutual recognition rather than by settler colonial possessive structures that demand Othered systems, cultures and peoples be made to fit the </w:t>
      </w:r>
      <w:r w:rsidR="00811928">
        <w:rPr>
          <w:rFonts w:ascii="Times New Roman" w:hAnsi="Times New Roman" w:cs="Times New Roman"/>
          <w:sz w:val="24"/>
          <w:szCs w:val="24"/>
        </w:rPr>
        <w:t>very system that devalues them</w:t>
      </w:r>
      <w:r w:rsidR="00665409">
        <w:rPr>
          <w:rFonts w:ascii="Times New Roman" w:hAnsi="Times New Roman" w:cs="Times New Roman"/>
          <w:sz w:val="24"/>
          <w:szCs w:val="24"/>
        </w:rPr>
        <w:t>.</w:t>
      </w:r>
    </w:p>
    <w:p w14:paraId="1D5876AE" w14:textId="228464B0" w:rsidR="00D431F0" w:rsidRPr="00AF6C85" w:rsidRDefault="00D431F0" w:rsidP="00060628">
      <w:pPr>
        <w:spacing w:line="480" w:lineRule="auto"/>
        <w:rPr>
          <w:rFonts w:ascii="Times New Roman" w:hAnsi="Times New Roman" w:cs="Times New Roman"/>
          <w:b/>
          <w:sz w:val="24"/>
          <w:szCs w:val="24"/>
        </w:rPr>
      </w:pPr>
    </w:p>
    <w:p w14:paraId="45558E80" w14:textId="3F91D76E" w:rsidR="000107FA" w:rsidRPr="00DD6014" w:rsidRDefault="00D431F0" w:rsidP="00060628">
      <w:pPr>
        <w:spacing w:line="480" w:lineRule="auto"/>
        <w:rPr>
          <w:rFonts w:ascii="Times New Roman" w:hAnsi="Times New Roman" w:cs="Times New Roman"/>
          <w:b/>
          <w:i/>
          <w:sz w:val="24"/>
          <w:szCs w:val="24"/>
        </w:rPr>
      </w:pPr>
      <w:r w:rsidRPr="00AF6C85">
        <w:rPr>
          <w:rFonts w:ascii="Times New Roman" w:hAnsi="Times New Roman" w:cs="Times New Roman"/>
          <w:b/>
          <w:i/>
          <w:sz w:val="24"/>
          <w:szCs w:val="24"/>
        </w:rPr>
        <w:t>Conclusion</w:t>
      </w:r>
    </w:p>
    <w:p w14:paraId="75A7BA01" w14:textId="052D8CF5" w:rsidR="00E421B0" w:rsidRDefault="000107FA" w:rsidP="00060628">
      <w:pPr>
        <w:spacing w:line="480" w:lineRule="auto"/>
        <w:rPr>
          <w:rFonts w:ascii="Times New Roman" w:hAnsi="Times New Roman" w:cs="Times New Roman"/>
          <w:sz w:val="24"/>
          <w:szCs w:val="24"/>
        </w:rPr>
      </w:pPr>
      <w:r w:rsidRPr="00A658D3">
        <w:rPr>
          <w:rFonts w:ascii="Times New Roman" w:hAnsi="Times New Roman" w:cs="Times New Roman"/>
          <w:sz w:val="24"/>
          <w:szCs w:val="24"/>
        </w:rPr>
        <w:t>The patterns of colonialist assertions of power, of selective application of law and construction of justifying teleological temporalities explored in this essay will be pain</w:t>
      </w:r>
      <w:r w:rsidR="00811928">
        <w:rPr>
          <w:rFonts w:ascii="Times New Roman" w:hAnsi="Times New Roman" w:cs="Times New Roman"/>
          <w:sz w:val="24"/>
          <w:szCs w:val="24"/>
        </w:rPr>
        <w:t xml:space="preserve">fully familiar to many readers, although these </w:t>
      </w:r>
      <w:r w:rsidRPr="00A658D3">
        <w:rPr>
          <w:rFonts w:ascii="Times New Roman" w:hAnsi="Times New Roman" w:cs="Times New Roman"/>
          <w:sz w:val="24"/>
          <w:szCs w:val="24"/>
        </w:rPr>
        <w:t xml:space="preserve">general patterns have not been explored in the medievalisms in and around </w:t>
      </w:r>
      <w:r w:rsidRPr="00A658D3">
        <w:rPr>
          <w:rFonts w:ascii="Times New Roman" w:hAnsi="Times New Roman" w:cs="Times New Roman"/>
          <w:i/>
          <w:sz w:val="24"/>
          <w:szCs w:val="24"/>
        </w:rPr>
        <w:t xml:space="preserve">Mabo </w:t>
      </w:r>
      <w:r w:rsidRPr="00A658D3">
        <w:rPr>
          <w:rFonts w:ascii="Times New Roman" w:hAnsi="Times New Roman" w:cs="Times New Roman"/>
          <w:sz w:val="24"/>
          <w:szCs w:val="24"/>
        </w:rPr>
        <w:t>previously</w:t>
      </w:r>
      <w:r w:rsidR="00A658D3" w:rsidRPr="00A658D3">
        <w:rPr>
          <w:rFonts w:ascii="Times New Roman" w:hAnsi="Times New Roman" w:cs="Times New Roman"/>
          <w:sz w:val="24"/>
          <w:szCs w:val="24"/>
        </w:rPr>
        <w:t>.</w:t>
      </w:r>
      <w:r w:rsidR="00C96FF4">
        <w:rPr>
          <w:rStyle w:val="EndnoteReference"/>
          <w:rFonts w:ascii="Times New Roman" w:hAnsi="Times New Roman" w:cs="Times New Roman"/>
          <w:sz w:val="24"/>
          <w:szCs w:val="24"/>
        </w:rPr>
        <w:endnoteReference w:id="63"/>
      </w:r>
      <w:r w:rsidR="00A658D3">
        <w:rPr>
          <w:rFonts w:ascii="Times New Roman" w:hAnsi="Times New Roman" w:cs="Times New Roman"/>
          <w:sz w:val="24"/>
          <w:szCs w:val="24"/>
        </w:rPr>
        <w:t xml:space="preserve"> </w:t>
      </w:r>
      <w:r w:rsidR="0074492D">
        <w:rPr>
          <w:rFonts w:ascii="Times New Roman" w:hAnsi="Times New Roman" w:cs="Times New Roman"/>
          <w:sz w:val="24"/>
          <w:szCs w:val="24"/>
        </w:rPr>
        <w:t xml:space="preserve"> </w:t>
      </w:r>
      <w:r w:rsidR="00BF1AD3">
        <w:rPr>
          <w:rFonts w:ascii="Times New Roman" w:hAnsi="Times New Roman" w:cs="Times New Roman"/>
          <w:sz w:val="24"/>
          <w:szCs w:val="24"/>
        </w:rPr>
        <w:t>My principal</w:t>
      </w:r>
      <w:r w:rsidR="000B5DEF">
        <w:rPr>
          <w:rFonts w:ascii="Times New Roman" w:hAnsi="Times New Roman" w:cs="Times New Roman"/>
          <w:sz w:val="24"/>
          <w:szCs w:val="24"/>
        </w:rPr>
        <w:t xml:space="preserve"> aim</w:t>
      </w:r>
      <w:r w:rsidR="00D431F0" w:rsidRPr="00AF6C85">
        <w:rPr>
          <w:rFonts w:ascii="Times New Roman" w:hAnsi="Times New Roman" w:cs="Times New Roman"/>
          <w:sz w:val="24"/>
          <w:szCs w:val="24"/>
        </w:rPr>
        <w:t xml:space="preserve"> in this article </w:t>
      </w:r>
      <w:r w:rsidR="000B5DEF">
        <w:rPr>
          <w:rFonts w:ascii="Times New Roman" w:hAnsi="Times New Roman" w:cs="Times New Roman"/>
          <w:sz w:val="24"/>
          <w:szCs w:val="24"/>
        </w:rPr>
        <w:t>has been</w:t>
      </w:r>
      <w:r w:rsidR="00D431F0" w:rsidRPr="00AF6C85">
        <w:rPr>
          <w:rFonts w:ascii="Times New Roman" w:hAnsi="Times New Roman" w:cs="Times New Roman"/>
          <w:sz w:val="24"/>
          <w:szCs w:val="24"/>
        </w:rPr>
        <w:t xml:space="preserve"> to </w:t>
      </w:r>
      <w:r w:rsidR="00BF1AD3">
        <w:rPr>
          <w:rFonts w:ascii="Times New Roman" w:hAnsi="Times New Roman" w:cs="Times New Roman"/>
          <w:sz w:val="24"/>
          <w:szCs w:val="24"/>
        </w:rPr>
        <w:t>explore what</w:t>
      </w:r>
      <w:r w:rsidR="00D431F0" w:rsidRPr="00AF6C85">
        <w:rPr>
          <w:rFonts w:ascii="Times New Roman" w:hAnsi="Times New Roman" w:cs="Times New Roman"/>
          <w:sz w:val="24"/>
          <w:szCs w:val="24"/>
        </w:rPr>
        <w:t xml:space="preserve"> contribution medieval studies and medievalism studies can make to the vast project of decolonization</w:t>
      </w:r>
      <w:r w:rsidR="000B5DEF">
        <w:rPr>
          <w:rFonts w:ascii="Times New Roman" w:hAnsi="Times New Roman" w:cs="Times New Roman"/>
          <w:sz w:val="24"/>
          <w:szCs w:val="24"/>
        </w:rPr>
        <w:t xml:space="preserve"> through a case study of medievalism in and around </w:t>
      </w:r>
      <w:r w:rsidR="000B5DEF">
        <w:rPr>
          <w:rFonts w:ascii="Times New Roman" w:hAnsi="Times New Roman" w:cs="Times New Roman"/>
          <w:i/>
          <w:sz w:val="24"/>
          <w:szCs w:val="24"/>
        </w:rPr>
        <w:t>Mabo</w:t>
      </w:r>
      <w:r w:rsidR="00D431F0" w:rsidRPr="00AF6C85">
        <w:rPr>
          <w:rFonts w:ascii="Times New Roman" w:hAnsi="Times New Roman" w:cs="Times New Roman"/>
          <w:sz w:val="24"/>
          <w:szCs w:val="24"/>
        </w:rPr>
        <w:t>. As Tuhiwai Smith states: “history is important for understanding the present … and reclaiming history is a critical and essential aspect of decolonization.”</w:t>
      </w:r>
      <w:r w:rsidR="00D431F0" w:rsidRPr="00AF6C85">
        <w:rPr>
          <w:rStyle w:val="EndnoteReference"/>
          <w:rFonts w:ascii="Times New Roman" w:hAnsi="Times New Roman" w:cs="Times New Roman"/>
          <w:sz w:val="24"/>
          <w:szCs w:val="24"/>
        </w:rPr>
        <w:endnoteReference w:id="64"/>
      </w:r>
      <w:r w:rsidR="00D431F0" w:rsidRPr="00AF6C85">
        <w:rPr>
          <w:rFonts w:ascii="Times New Roman" w:hAnsi="Times New Roman" w:cs="Times New Roman"/>
          <w:sz w:val="24"/>
          <w:szCs w:val="24"/>
        </w:rPr>
        <w:t xml:space="preserve"> Western historical thinking with its teleological assumptions</w:t>
      </w:r>
      <w:r w:rsidR="00577027">
        <w:rPr>
          <w:rFonts w:ascii="Times New Roman" w:hAnsi="Times New Roman" w:cs="Times New Roman"/>
          <w:sz w:val="24"/>
          <w:szCs w:val="24"/>
        </w:rPr>
        <w:t xml:space="preserve"> and temporality</w:t>
      </w:r>
      <w:r w:rsidR="00D431F0" w:rsidRPr="00AF6C85">
        <w:rPr>
          <w:rFonts w:ascii="Times New Roman" w:hAnsi="Times New Roman" w:cs="Times New Roman"/>
          <w:sz w:val="24"/>
          <w:szCs w:val="24"/>
        </w:rPr>
        <w:t>, claims of universality, and exclusions of Indigenous (and other) peoples from full participation in the category of ‘humanity’ both produces and is produced by the anti-modernity of ‘the medieval.’ Medieval studies and medievalism studies disciplinary knowledge and methodologies can contribute to the decolonisation of history (and H</w:t>
      </w:r>
      <w:r w:rsidR="00BA1CD7">
        <w:rPr>
          <w:rFonts w:ascii="Times New Roman" w:hAnsi="Times New Roman" w:cs="Times New Roman"/>
          <w:sz w:val="24"/>
          <w:szCs w:val="24"/>
        </w:rPr>
        <w:t>istory), and thus</w:t>
      </w:r>
      <w:r w:rsidR="00D431F0" w:rsidRPr="00AF6C85">
        <w:rPr>
          <w:rFonts w:ascii="Times New Roman" w:hAnsi="Times New Roman" w:cs="Times New Roman"/>
          <w:sz w:val="24"/>
          <w:szCs w:val="24"/>
        </w:rPr>
        <w:t xml:space="preserve"> to the decolonisation of the Western academy and research through a critically-oriented explora</w:t>
      </w:r>
      <w:r w:rsidR="0040500F">
        <w:rPr>
          <w:rFonts w:ascii="Times New Roman" w:hAnsi="Times New Roman" w:cs="Times New Roman"/>
          <w:sz w:val="24"/>
          <w:szCs w:val="24"/>
        </w:rPr>
        <w:t>tion of the cultural archive</w:t>
      </w:r>
      <w:r w:rsidR="00D431F0" w:rsidRPr="00AF6C85">
        <w:rPr>
          <w:rFonts w:ascii="Times New Roman" w:hAnsi="Times New Roman" w:cs="Times New Roman"/>
          <w:sz w:val="24"/>
          <w:szCs w:val="24"/>
        </w:rPr>
        <w:t xml:space="preserve"> </w:t>
      </w:r>
      <w:r w:rsidR="00D431F0">
        <w:rPr>
          <w:rFonts w:ascii="Times New Roman" w:hAnsi="Times New Roman" w:cs="Times New Roman"/>
          <w:sz w:val="24"/>
          <w:szCs w:val="24"/>
        </w:rPr>
        <w:t>and how it is used to shape and justify social power relations</w:t>
      </w:r>
      <w:r w:rsidR="00D431F0" w:rsidRPr="00AF6C85">
        <w:rPr>
          <w:rFonts w:ascii="Times New Roman" w:hAnsi="Times New Roman" w:cs="Times New Roman"/>
          <w:sz w:val="24"/>
          <w:szCs w:val="24"/>
        </w:rPr>
        <w:t xml:space="preserve">. </w:t>
      </w:r>
      <w:r w:rsidR="0074492D">
        <w:rPr>
          <w:rFonts w:ascii="Times New Roman" w:hAnsi="Times New Roman" w:cs="Times New Roman"/>
          <w:sz w:val="24"/>
          <w:szCs w:val="24"/>
        </w:rPr>
        <w:t>Expertise in those fields can help</w:t>
      </w:r>
      <w:r w:rsidR="00D431F0">
        <w:rPr>
          <w:rFonts w:ascii="Times New Roman" w:hAnsi="Times New Roman" w:cs="Times New Roman"/>
          <w:sz w:val="24"/>
          <w:szCs w:val="24"/>
        </w:rPr>
        <w:t xml:space="preserve"> recognise</w:t>
      </w:r>
      <w:r w:rsidR="00BA1CD7">
        <w:rPr>
          <w:rFonts w:ascii="Times New Roman" w:hAnsi="Times New Roman" w:cs="Times New Roman"/>
          <w:sz w:val="24"/>
          <w:szCs w:val="24"/>
        </w:rPr>
        <w:t xml:space="preserve"> </w:t>
      </w:r>
      <w:r w:rsidR="00D431F0">
        <w:rPr>
          <w:rFonts w:ascii="Times New Roman" w:hAnsi="Times New Roman" w:cs="Times New Roman"/>
          <w:sz w:val="24"/>
          <w:szCs w:val="24"/>
        </w:rPr>
        <w:t>colonial continuations in decolonial endeavours</w:t>
      </w:r>
      <w:r w:rsidR="0074492D">
        <w:rPr>
          <w:rFonts w:ascii="Times New Roman" w:hAnsi="Times New Roman" w:cs="Times New Roman"/>
          <w:sz w:val="24"/>
          <w:szCs w:val="24"/>
        </w:rPr>
        <w:t xml:space="preserve">. </w:t>
      </w:r>
      <w:r w:rsidR="008B52CE">
        <w:rPr>
          <w:rFonts w:ascii="Times New Roman" w:hAnsi="Times New Roman" w:cs="Times New Roman"/>
          <w:sz w:val="24"/>
          <w:szCs w:val="24"/>
        </w:rPr>
        <w:t>T</w:t>
      </w:r>
      <w:r w:rsidR="00D431F0" w:rsidRPr="00AF6C85">
        <w:rPr>
          <w:rFonts w:ascii="Times New Roman" w:hAnsi="Times New Roman" w:cs="Times New Roman"/>
          <w:sz w:val="24"/>
          <w:szCs w:val="24"/>
        </w:rPr>
        <w:t>his</w:t>
      </w:r>
      <w:r w:rsidR="008B52CE">
        <w:rPr>
          <w:rFonts w:ascii="Times New Roman" w:hAnsi="Times New Roman" w:cs="Times New Roman"/>
          <w:sz w:val="24"/>
          <w:szCs w:val="24"/>
        </w:rPr>
        <w:t xml:space="preserve"> type of contribution</w:t>
      </w:r>
      <w:r w:rsidR="00D431F0" w:rsidRPr="00AF6C85">
        <w:rPr>
          <w:rFonts w:ascii="Times New Roman" w:hAnsi="Times New Roman" w:cs="Times New Roman"/>
          <w:sz w:val="24"/>
          <w:szCs w:val="24"/>
        </w:rPr>
        <w:t xml:space="preserve"> does not, however, encompass the whole of decolonisation or the goals of Indigenous studies. </w:t>
      </w:r>
    </w:p>
    <w:p w14:paraId="3F8540A3" w14:textId="77777777" w:rsidR="0074492D" w:rsidRDefault="0074492D" w:rsidP="00060628">
      <w:pPr>
        <w:spacing w:line="480" w:lineRule="auto"/>
        <w:rPr>
          <w:rFonts w:ascii="Times New Roman" w:hAnsi="Times New Roman" w:cs="Times New Roman"/>
          <w:sz w:val="24"/>
          <w:szCs w:val="24"/>
        </w:rPr>
      </w:pPr>
    </w:p>
    <w:p w14:paraId="13644944" w14:textId="2FC44224" w:rsidR="004F7276" w:rsidRPr="0074492D" w:rsidRDefault="0074492D" w:rsidP="002C6566">
      <w:pPr>
        <w:spacing w:line="480" w:lineRule="auto"/>
        <w:rPr>
          <w:rFonts w:ascii="Times New Roman" w:hAnsi="Times New Roman" w:cs="Times New Roman"/>
          <w:sz w:val="24"/>
          <w:szCs w:val="24"/>
        </w:rPr>
      </w:pPr>
      <w:r>
        <w:rPr>
          <w:rFonts w:ascii="Times New Roman" w:hAnsi="Times New Roman" w:cs="Times New Roman"/>
          <w:sz w:val="24"/>
          <w:szCs w:val="24"/>
        </w:rPr>
        <w:t>D</w:t>
      </w:r>
      <w:r w:rsidR="00D431F0" w:rsidRPr="00AF6C85">
        <w:rPr>
          <w:rFonts w:ascii="Times New Roman" w:hAnsi="Times New Roman" w:cs="Times New Roman"/>
          <w:sz w:val="24"/>
          <w:szCs w:val="24"/>
        </w:rPr>
        <w:t>ecolonisation</w:t>
      </w:r>
      <w:r>
        <w:rPr>
          <w:rFonts w:ascii="Times New Roman" w:hAnsi="Times New Roman" w:cs="Times New Roman"/>
          <w:sz w:val="24"/>
          <w:szCs w:val="24"/>
        </w:rPr>
        <w:t>, as Tuhiwai</w:t>
      </w:r>
      <w:r w:rsidR="00D431F0" w:rsidRPr="00AF6C85">
        <w:rPr>
          <w:rFonts w:ascii="Times New Roman" w:hAnsi="Times New Roman" w:cs="Times New Roman"/>
          <w:sz w:val="24"/>
          <w:szCs w:val="24"/>
        </w:rPr>
        <w:t xml:space="preserve"> </w:t>
      </w:r>
      <w:r>
        <w:rPr>
          <w:rFonts w:ascii="Times New Roman" w:hAnsi="Times New Roman" w:cs="Times New Roman"/>
          <w:sz w:val="24"/>
          <w:szCs w:val="24"/>
        </w:rPr>
        <w:t xml:space="preserve">Smith argues </w:t>
      </w:r>
      <w:r w:rsidR="00D431F0" w:rsidRPr="00AF6C85">
        <w:rPr>
          <w:rFonts w:ascii="Times New Roman" w:hAnsi="Times New Roman" w:cs="Times New Roman"/>
          <w:sz w:val="24"/>
          <w:szCs w:val="24"/>
        </w:rPr>
        <w:t>…</w:t>
      </w:r>
      <w:r w:rsidR="00D431F0">
        <w:rPr>
          <w:rFonts w:ascii="Times New Roman" w:hAnsi="Times New Roman" w:cs="Times New Roman"/>
          <w:sz w:val="24"/>
          <w:szCs w:val="24"/>
        </w:rPr>
        <w:t xml:space="preserve"> is about centr</w:t>
      </w:r>
      <w:r w:rsidR="00D431F0" w:rsidRPr="00AF6C85">
        <w:rPr>
          <w:rFonts w:ascii="Times New Roman" w:hAnsi="Times New Roman" w:cs="Times New Roman"/>
          <w:sz w:val="24"/>
          <w:szCs w:val="24"/>
        </w:rPr>
        <w:t>ing our [Indigenous] con</w:t>
      </w:r>
      <w:r w:rsidR="00D431F0">
        <w:rPr>
          <w:rFonts w:ascii="Times New Roman" w:hAnsi="Times New Roman" w:cs="Times New Roman"/>
          <w:sz w:val="24"/>
          <w:szCs w:val="24"/>
        </w:rPr>
        <w:t>c</w:t>
      </w:r>
      <w:r w:rsidR="00D431F0" w:rsidRPr="00AF6C85">
        <w:rPr>
          <w:rFonts w:ascii="Times New Roman" w:hAnsi="Times New Roman" w:cs="Times New Roman"/>
          <w:sz w:val="24"/>
          <w:szCs w:val="24"/>
        </w:rPr>
        <w:t>erns and wor</w:t>
      </w:r>
      <w:r w:rsidR="00D431F0">
        <w:rPr>
          <w:rFonts w:ascii="Times New Roman" w:hAnsi="Times New Roman" w:cs="Times New Roman"/>
          <w:sz w:val="24"/>
          <w:szCs w:val="24"/>
        </w:rPr>
        <w:t>l</w:t>
      </w:r>
      <w:r w:rsidR="00D431F0" w:rsidRPr="00AF6C85">
        <w:rPr>
          <w:rFonts w:ascii="Times New Roman" w:hAnsi="Times New Roman" w:cs="Times New Roman"/>
          <w:sz w:val="24"/>
          <w:szCs w:val="24"/>
        </w:rPr>
        <w:t>d views a</w:t>
      </w:r>
      <w:r w:rsidR="00D431F0">
        <w:rPr>
          <w:rFonts w:ascii="Times New Roman" w:hAnsi="Times New Roman" w:cs="Times New Roman"/>
          <w:sz w:val="24"/>
          <w:szCs w:val="24"/>
        </w:rPr>
        <w:t>n</w:t>
      </w:r>
      <w:r w:rsidR="00D431F0" w:rsidRPr="00AF6C85">
        <w:rPr>
          <w:rFonts w:ascii="Times New Roman" w:hAnsi="Times New Roman" w:cs="Times New Roman"/>
          <w:sz w:val="24"/>
          <w:szCs w:val="24"/>
        </w:rPr>
        <w:t>d then coming to understand theory and research from our own perspectives and for our own purposes.”</w:t>
      </w:r>
      <w:r w:rsidR="00D431F0" w:rsidRPr="00AF6C85">
        <w:rPr>
          <w:rStyle w:val="EndnoteReference"/>
          <w:rFonts w:ascii="Times New Roman" w:hAnsi="Times New Roman" w:cs="Times New Roman"/>
          <w:sz w:val="24"/>
          <w:szCs w:val="24"/>
        </w:rPr>
        <w:endnoteReference w:id="65"/>
      </w:r>
      <w:r w:rsidR="00D431F0" w:rsidRPr="00AF6C85">
        <w:rPr>
          <w:rFonts w:ascii="Times New Roman" w:hAnsi="Times New Roman" w:cs="Times New Roman"/>
          <w:sz w:val="24"/>
          <w:szCs w:val="24"/>
        </w:rPr>
        <w:t xml:space="preserve"> What role, then can ‘the medieval’ – in its broad cultural or more specific scholarly formations – play in this project</w:t>
      </w:r>
      <w:r w:rsidR="008B52CE">
        <w:rPr>
          <w:rFonts w:ascii="Times New Roman" w:hAnsi="Times New Roman" w:cs="Times New Roman"/>
          <w:sz w:val="24"/>
          <w:szCs w:val="24"/>
        </w:rPr>
        <w:t xml:space="preserve">, if any? </w:t>
      </w:r>
      <w:r>
        <w:rPr>
          <w:rFonts w:ascii="Times New Roman" w:hAnsi="Times New Roman" w:cs="Times New Roman"/>
          <w:sz w:val="24"/>
          <w:szCs w:val="24"/>
        </w:rPr>
        <w:t>Mead’s “anomalous” instances of “medievalism on Country” with their politically challenging temporality, mutual recognition and orientation towards a more connected future for Indigenous and non-Indigenous Australians offer a pattern of possibility,</w:t>
      </w:r>
      <w:r>
        <w:rPr>
          <w:rStyle w:val="EndnoteReference"/>
          <w:rFonts w:ascii="Times New Roman" w:hAnsi="Times New Roman" w:cs="Times New Roman"/>
          <w:sz w:val="24"/>
          <w:szCs w:val="24"/>
        </w:rPr>
        <w:endnoteReference w:id="66"/>
      </w:r>
      <w:r>
        <w:rPr>
          <w:rFonts w:ascii="Times New Roman" w:hAnsi="Times New Roman" w:cs="Times New Roman"/>
          <w:sz w:val="24"/>
          <w:szCs w:val="24"/>
        </w:rPr>
        <w:t xml:space="preserve"> but medieval studies itself is not evident in them. </w:t>
      </w:r>
      <w:r w:rsidR="009A3710" w:rsidRPr="00AF6C85">
        <w:rPr>
          <w:rFonts w:ascii="Times New Roman" w:hAnsi="Times New Roman" w:cs="Times New Roman"/>
          <w:sz w:val="24"/>
          <w:szCs w:val="24"/>
        </w:rPr>
        <w:t>Beyond deconstructive exploration of the Wes</w:t>
      </w:r>
      <w:r w:rsidR="00D431F0">
        <w:rPr>
          <w:rFonts w:ascii="Times New Roman" w:hAnsi="Times New Roman" w:cs="Times New Roman"/>
          <w:sz w:val="24"/>
          <w:szCs w:val="24"/>
        </w:rPr>
        <w:t>tern cultural archive it is</w:t>
      </w:r>
      <w:r w:rsidR="009A3710" w:rsidRPr="00AF6C85">
        <w:rPr>
          <w:rFonts w:ascii="Times New Roman" w:hAnsi="Times New Roman" w:cs="Times New Roman"/>
          <w:sz w:val="24"/>
          <w:szCs w:val="24"/>
        </w:rPr>
        <w:t xml:space="preserve"> perhaps not immediately easy to see a specific role for the discipline of medieval or medievalism</w:t>
      </w:r>
      <w:r>
        <w:rPr>
          <w:rFonts w:ascii="Times New Roman" w:hAnsi="Times New Roman" w:cs="Times New Roman"/>
          <w:sz w:val="24"/>
          <w:szCs w:val="24"/>
        </w:rPr>
        <w:t xml:space="preserve"> studies</w:t>
      </w:r>
      <w:r w:rsidR="00E421B0">
        <w:rPr>
          <w:rFonts w:ascii="Times New Roman" w:hAnsi="Times New Roman" w:cs="Times New Roman"/>
          <w:sz w:val="24"/>
          <w:szCs w:val="24"/>
        </w:rPr>
        <w:t>. Such a</w:t>
      </w:r>
      <w:r w:rsidR="008B52CE">
        <w:rPr>
          <w:rFonts w:ascii="Times New Roman" w:hAnsi="Times New Roman" w:cs="Times New Roman"/>
          <w:sz w:val="24"/>
          <w:szCs w:val="24"/>
        </w:rPr>
        <w:t xml:space="preserve"> difficulty</w:t>
      </w:r>
      <w:r w:rsidR="00E421B0">
        <w:rPr>
          <w:rFonts w:ascii="Times New Roman" w:hAnsi="Times New Roman" w:cs="Times New Roman"/>
          <w:sz w:val="24"/>
          <w:szCs w:val="24"/>
        </w:rPr>
        <w:t xml:space="preserve">, </w:t>
      </w:r>
      <w:r w:rsidR="002244AC">
        <w:rPr>
          <w:rFonts w:ascii="Times New Roman" w:hAnsi="Times New Roman" w:cs="Times New Roman"/>
          <w:sz w:val="24"/>
          <w:szCs w:val="24"/>
        </w:rPr>
        <w:t>I would argue</w:t>
      </w:r>
      <w:r w:rsidR="00E421B0">
        <w:rPr>
          <w:rFonts w:ascii="Times New Roman" w:hAnsi="Times New Roman" w:cs="Times New Roman"/>
          <w:sz w:val="24"/>
          <w:szCs w:val="24"/>
        </w:rPr>
        <w:t>, stems largely</w:t>
      </w:r>
      <w:r w:rsidR="008B52CE">
        <w:rPr>
          <w:rFonts w:ascii="Times New Roman" w:hAnsi="Times New Roman" w:cs="Times New Roman"/>
          <w:sz w:val="24"/>
          <w:szCs w:val="24"/>
        </w:rPr>
        <w:t xml:space="preserve"> from</w:t>
      </w:r>
      <w:r w:rsidR="009A3710" w:rsidRPr="00AF6C85">
        <w:rPr>
          <w:rFonts w:ascii="Times New Roman" w:hAnsi="Times New Roman" w:cs="Times New Roman"/>
          <w:sz w:val="24"/>
          <w:szCs w:val="24"/>
        </w:rPr>
        <w:t xml:space="preserve"> presuppositions that reproduce white racist exclusion of Indigenous peoples from ‘the medieval:’ that Indigenous people are not already researching in those fields; and that they have and could have no interest in doing</w:t>
      </w:r>
      <w:r w:rsidR="00EB5788">
        <w:rPr>
          <w:rFonts w:ascii="Times New Roman" w:hAnsi="Times New Roman" w:cs="Times New Roman"/>
          <w:sz w:val="24"/>
          <w:szCs w:val="24"/>
        </w:rPr>
        <w:t xml:space="preserve"> so</w:t>
      </w:r>
      <w:r w:rsidR="00D431F0">
        <w:rPr>
          <w:rFonts w:ascii="Times New Roman" w:hAnsi="Times New Roman" w:cs="Times New Roman"/>
          <w:sz w:val="24"/>
          <w:szCs w:val="24"/>
        </w:rPr>
        <w:t xml:space="preserve">. </w:t>
      </w:r>
      <w:r w:rsidR="002244AC">
        <w:rPr>
          <w:rFonts w:ascii="Times New Roman" w:hAnsi="Times New Roman" w:cs="Times New Roman"/>
          <w:sz w:val="24"/>
          <w:szCs w:val="24"/>
        </w:rPr>
        <w:t>The possibilities perhaps become clearer with further articulation of the goals of Indigenous Studies (including research and pedagogy). Nakata et al argue that “</w:t>
      </w:r>
      <w:r w:rsidR="002244AC" w:rsidRPr="00D431F0">
        <w:rPr>
          <w:rFonts w:ascii="Times New Roman" w:hAnsi="Times New Roman" w:cs="Times New Roman"/>
          <w:sz w:val="24"/>
          <w:szCs w:val="24"/>
        </w:rPr>
        <w:t>an imperative of decoloniality and a cent</w:t>
      </w:r>
      <w:r w:rsidR="002244AC">
        <w:rPr>
          <w:rFonts w:ascii="Times New Roman" w:hAnsi="Times New Roman" w:cs="Times New Roman"/>
          <w:sz w:val="24"/>
          <w:szCs w:val="24"/>
        </w:rPr>
        <w:t>ral task of Indigenous people …</w:t>
      </w:r>
      <w:r w:rsidR="002244AC" w:rsidRPr="00D431F0">
        <w:rPr>
          <w:rFonts w:ascii="Times New Roman" w:hAnsi="Times New Roman" w:cs="Times New Roman"/>
          <w:sz w:val="24"/>
          <w:szCs w:val="24"/>
        </w:rPr>
        <w:t xml:space="preserve"> is ‘decolonial knowledge-making’ that r</w:t>
      </w:r>
      <w:r w:rsidR="002244AC">
        <w:rPr>
          <w:rFonts w:ascii="Times New Roman" w:hAnsi="Times New Roman" w:cs="Times New Roman"/>
          <w:sz w:val="24"/>
          <w:szCs w:val="24"/>
        </w:rPr>
        <w:t>e-</w:t>
      </w:r>
      <w:r w:rsidR="002244AC" w:rsidRPr="00D431F0">
        <w:rPr>
          <w:rFonts w:ascii="Times New Roman" w:hAnsi="Times New Roman" w:cs="Times New Roman"/>
          <w:sz w:val="24"/>
          <w:szCs w:val="24"/>
        </w:rPr>
        <w:t>asserts and draws in concepts and meanings from Indigenous knowledge and systems of thought and experience o</w:t>
      </w:r>
      <w:r w:rsidR="002244AC">
        <w:rPr>
          <w:rFonts w:ascii="Times New Roman" w:hAnsi="Times New Roman" w:cs="Times New Roman"/>
          <w:sz w:val="24"/>
          <w:szCs w:val="24"/>
        </w:rPr>
        <w:t>f the colonial.”</w:t>
      </w:r>
      <w:r w:rsidR="002244AC">
        <w:rPr>
          <w:rStyle w:val="EndnoteReference"/>
          <w:rFonts w:ascii="Times New Roman" w:hAnsi="Times New Roman" w:cs="Times New Roman"/>
          <w:sz w:val="24"/>
          <w:szCs w:val="24"/>
        </w:rPr>
        <w:endnoteReference w:id="67"/>
      </w:r>
      <w:r w:rsidR="002244AC">
        <w:rPr>
          <w:rFonts w:ascii="Times New Roman" w:hAnsi="Times New Roman" w:cs="Times New Roman"/>
          <w:sz w:val="24"/>
          <w:szCs w:val="24"/>
        </w:rPr>
        <w:t xml:space="preserve"> Decolonisation of medievalist research and its objects of study has potential to open up new spaces and foci for knowledge-making. </w:t>
      </w:r>
      <w:r w:rsidR="0040500F">
        <w:rPr>
          <w:rFonts w:ascii="Times New Roman" w:hAnsi="Times New Roman" w:cs="Times New Roman"/>
          <w:sz w:val="24"/>
          <w:szCs w:val="24"/>
        </w:rPr>
        <w:t xml:space="preserve">What is already being done by Indigenous medievalists? </w:t>
      </w:r>
      <w:r w:rsidR="001B125C" w:rsidRPr="008B52CE">
        <w:rPr>
          <w:rFonts w:ascii="Times New Roman" w:hAnsi="Times New Roman" w:cs="Times New Roman"/>
          <w:sz w:val="24"/>
          <w:szCs w:val="24"/>
        </w:rPr>
        <w:t xml:space="preserve">What </w:t>
      </w:r>
      <w:r w:rsidR="0040500F">
        <w:rPr>
          <w:rFonts w:ascii="Times New Roman" w:hAnsi="Times New Roman" w:cs="Times New Roman"/>
          <w:sz w:val="24"/>
          <w:szCs w:val="24"/>
        </w:rPr>
        <w:t>can</w:t>
      </w:r>
      <w:r w:rsidR="001B125C" w:rsidRPr="008B52CE">
        <w:rPr>
          <w:rFonts w:ascii="Times New Roman" w:hAnsi="Times New Roman" w:cs="Times New Roman"/>
          <w:sz w:val="24"/>
          <w:szCs w:val="24"/>
        </w:rPr>
        <w:t xml:space="preserve"> Indigenous worldviews, knowledges and subject positions do with</w:t>
      </w:r>
      <w:r w:rsidR="001B125C">
        <w:rPr>
          <w:rFonts w:ascii="Times New Roman" w:hAnsi="Times New Roman" w:cs="Times New Roman"/>
          <w:sz w:val="24"/>
          <w:szCs w:val="24"/>
        </w:rPr>
        <w:t xml:space="preserve"> t</w:t>
      </w:r>
      <w:r w:rsidR="002244AC" w:rsidRPr="00537198">
        <w:rPr>
          <w:rFonts w:ascii="Times New Roman" w:hAnsi="Times New Roman" w:cs="Times New Roman"/>
          <w:sz w:val="24"/>
          <w:szCs w:val="24"/>
        </w:rPr>
        <w:t>he material on which our discip</w:t>
      </w:r>
      <w:r w:rsidR="002244AC">
        <w:rPr>
          <w:rFonts w:ascii="Times New Roman" w:hAnsi="Times New Roman" w:cs="Times New Roman"/>
          <w:sz w:val="24"/>
          <w:szCs w:val="24"/>
        </w:rPr>
        <w:t>l</w:t>
      </w:r>
      <w:r w:rsidR="002244AC" w:rsidRPr="00537198">
        <w:rPr>
          <w:rFonts w:ascii="Times New Roman" w:hAnsi="Times New Roman" w:cs="Times New Roman"/>
          <w:sz w:val="24"/>
          <w:szCs w:val="24"/>
        </w:rPr>
        <w:t>ines focus - cultural and social formations and artefacts, the events of history and so on</w:t>
      </w:r>
      <w:r w:rsidR="002244AC">
        <w:rPr>
          <w:rFonts w:ascii="Times New Roman" w:hAnsi="Times New Roman" w:cs="Times New Roman"/>
          <w:sz w:val="24"/>
          <w:szCs w:val="24"/>
        </w:rPr>
        <w:t>,</w:t>
      </w:r>
      <w:r w:rsidR="002244AC" w:rsidRPr="00537198">
        <w:rPr>
          <w:rFonts w:ascii="Times New Roman" w:hAnsi="Times New Roman" w:cs="Times New Roman"/>
          <w:sz w:val="24"/>
          <w:szCs w:val="24"/>
        </w:rPr>
        <w:t xml:space="preserve"> and the ways they can </w:t>
      </w:r>
      <w:r w:rsidR="009A1CB4">
        <w:rPr>
          <w:rFonts w:ascii="Times New Roman" w:hAnsi="Times New Roman" w:cs="Times New Roman"/>
          <w:sz w:val="24"/>
          <w:szCs w:val="24"/>
        </w:rPr>
        <w:t xml:space="preserve">be reimagined? </w:t>
      </w:r>
      <w:r w:rsidR="0040500F">
        <w:rPr>
          <w:rFonts w:ascii="Times New Roman" w:hAnsi="Times New Roman" w:cs="Times New Roman"/>
          <w:sz w:val="24"/>
          <w:szCs w:val="24"/>
        </w:rPr>
        <w:t xml:space="preserve"> </w:t>
      </w:r>
      <w:r w:rsidR="009A1CB4">
        <w:rPr>
          <w:rFonts w:ascii="Times New Roman" w:hAnsi="Times New Roman" w:cs="Times New Roman"/>
          <w:sz w:val="24"/>
          <w:szCs w:val="24"/>
        </w:rPr>
        <w:t>How would that material</w:t>
      </w:r>
      <w:r w:rsidR="0040500F">
        <w:rPr>
          <w:rFonts w:ascii="Times New Roman" w:hAnsi="Times New Roman" w:cs="Times New Roman"/>
          <w:sz w:val="24"/>
          <w:szCs w:val="24"/>
        </w:rPr>
        <w:t>,</w:t>
      </w:r>
      <w:r w:rsidR="009A1CB4">
        <w:rPr>
          <w:rFonts w:ascii="Times New Roman" w:hAnsi="Times New Roman" w:cs="Times New Roman"/>
          <w:sz w:val="24"/>
          <w:szCs w:val="24"/>
        </w:rPr>
        <w:t xml:space="preserve"> and the knowledge that can be made through it</w:t>
      </w:r>
      <w:r w:rsidR="0040500F">
        <w:rPr>
          <w:rFonts w:ascii="Times New Roman" w:hAnsi="Times New Roman" w:cs="Times New Roman"/>
          <w:sz w:val="24"/>
          <w:szCs w:val="24"/>
        </w:rPr>
        <w:t>,</w:t>
      </w:r>
      <w:r w:rsidR="009A1CB4">
        <w:rPr>
          <w:rFonts w:ascii="Times New Roman" w:hAnsi="Times New Roman" w:cs="Times New Roman"/>
          <w:sz w:val="24"/>
          <w:szCs w:val="24"/>
        </w:rPr>
        <w:t xml:space="preserve"> change </w:t>
      </w:r>
      <w:r w:rsidR="001B125C">
        <w:rPr>
          <w:rFonts w:ascii="Times New Roman" w:hAnsi="Times New Roman" w:cs="Times New Roman"/>
          <w:sz w:val="24"/>
          <w:szCs w:val="24"/>
        </w:rPr>
        <w:t xml:space="preserve">if it were not always already principally taxonomised </w:t>
      </w:r>
      <w:r w:rsidR="009A1CB4">
        <w:rPr>
          <w:rFonts w:ascii="Times New Roman" w:hAnsi="Times New Roman" w:cs="Times New Roman"/>
          <w:sz w:val="24"/>
          <w:szCs w:val="24"/>
        </w:rPr>
        <w:t xml:space="preserve">and understood </w:t>
      </w:r>
      <w:r w:rsidR="001B125C">
        <w:rPr>
          <w:rFonts w:ascii="Times New Roman" w:hAnsi="Times New Roman" w:cs="Times New Roman"/>
          <w:sz w:val="24"/>
          <w:szCs w:val="24"/>
        </w:rPr>
        <w:t xml:space="preserve">through a system of classification that Others </w:t>
      </w:r>
      <w:r w:rsidR="0040500F">
        <w:rPr>
          <w:rFonts w:ascii="Times New Roman" w:hAnsi="Times New Roman" w:cs="Times New Roman"/>
          <w:sz w:val="24"/>
          <w:szCs w:val="24"/>
        </w:rPr>
        <w:t xml:space="preserve">it from both modernity </w:t>
      </w:r>
      <w:r w:rsidR="0040500F">
        <w:rPr>
          <w:rFonts w:ascii="Times New Roman" w:hAnsi="Times New Roman" w:cs="Times New Roman"/>
          <w:i/>
          <w:sz w:val="24"/>
          <w:szCs w:val="24"/>
        </w:rPr>
        <w:t xml:space="preserve">and </w:t>
      </w:r>
      <w:r w:rsidR="0040500F">
        <w:rPr>
          <w:rFonts w:ascii="Times New Roman" w:hAnsi="Times New Roman" w:cs="Times New Roman"/>
          <w:sz w:val="24"/>
          <w:szCs w:val="24"/>
        </w:rPr>
        <w:lastRenderedPageBreak/>
        <w:t>indigeneity?</w:t>
      </w:r>
      <w:r w:rsidR="001B125C">
        <w:rPr>
          <w:rFonts w:ascii="Times New Roman" w:hAnsi="Times New Roman" w:cs="Times New Roman"/>
          <w:sz w:val="24"/>
          <w:szCs w:val="24"/>
        </w:rPr>
        <w:t xml:space="preserve"> To what purposes? Without a more sustained and comprehensive process of decolonisation that is not only informed but directed by the insights and imperatives of Indigenous studies, these questions cannot be answered. </w:t>
      </w:r>
    </w:p>
    <w:sectPr w:rsidR="004F7276" w:rsidRPr="0074492D">
      <w:footerReference w:type="default" r:id="rId10"/>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48720" w14:textId="77777777" w:rsidR="00F421FF" w:rsidRDefault="00F421FF" w:rsidP="002675E9">
      <w:pPr>
        <w:spacing w:after="0" w:line="240" w:lineRule="auto"/>
      </w:pPr>
      <w:r>
        <w:separator/>
      </w:r>
    </w:p>
  </w:endnote>
  <w:endnote w:type="continuationSeparator" w:id="0">
    <w:p w14:paraId="2128E191" w14:textId="77777777" w:rsidR="00F421FF" w:rsidRDefault="00F421FF" w:rsidP="002675E9">
      <w:pPr>
        <w:spacing w:after="0" w:line="240" w:lineRule="auto"/>
      </w:pPr>
      <w:r>
        <w:continuationSeparator/>
      </w:r>
    </w:p>
  </w:endnote>
  <w:endnote w:id="1">
    <w:p w14:paraId="6726090C" w14:textId="46B3E5C2"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{"citationItems":[{"id":"ITEM-1","itemData":{"author":[{"dropping-particle":"","family":"Percy","given":"Thomas","non-dropping-particle":"","parse-names":false,"suffix":""}],"id":"ITEM-1","issued":{"date-parts":[["1770"]]},"publisher":"T. Carnan and Co","publisher-place":"London","title":"Northern Antiquities: Or, A Description of the Manners, Customs, Religion and Laws of the Ancient Danes, and Other Northern Nations; Including Those of Our Own Saxon Ancestors, With a Translation of the Edda, Or System of Runic Mythology, And Other Pieces","type":"book"},"locator":"I, vii","suppress-author":1,"uris":["http://www.mendeley.com/documents/?uuid=a8c0ccc7-f3a9-4a8a-8aac-4ab495869a59"]}],"mendeley":{"formattedCitation":"&lt;i&gt;Northern Antiquities: Or, A Description of the Manners, Customs, Religion and Laws of the Ancient Danes, and Other Northern Nations; Including Those of Our Own Saxon Ancestors, With a Translation of the Edda, Or System of Runic Mythology, And Other Pieces&lt;/i&gt; (London: T. Carnan and Co, 1770), I, vii.","plainTextFormattedCitation":"Northern Antiquities: Or, A Description of the Manners, Customs, Religion and Laws of the Ancient Danes, and Other Northern Nations; Including Those of Our Own Saxon Ancestors, With a Translation of the Edda, Or System of Runic Mythology, And Other Pieces (London: T. Carnan and Co, 1770), I, vii.","previouslyFormattedCitation":"&lt;i&gt;Northern Antiquities: Or, A Description of the Manners, Customs, Religion and Laws of the Ancient Danes, and Other Northern Nations; Including Those of Our Own Saxon Ancestors, With a Translation of the Edda, Or System of Runic Mythology, And Other Pieces&lt;/i&gt; (London: T. Carnan and Co, 1770), I, vii."},"properties":{"noteIndex":0},"schema":"https://github.com/citation-style-language/schema/raw/master/csl-citation.json"}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i/>
          <w:noProof/>
          <w:sz w:val="24"/>
          <w:szCs w:val="24"/>
        </w:rPr>
        <w:t>Northern Antiquities: Or, A Description of the Manners, Customs, Religion and Laws of the Ancient Danes, and Other Northern Nations; Including Those of Our Own Saxon Ancestors, With a Translation of the Edda, Or System of Runic Mythology, And Other Pieces</w:t>
      </w:r>
      <w:r w:rsidRPr="00B950C8">
        <w:rPr>
          <w:rFonts w:ascii="Times New Roman" w:hAnsi="Times New Roman" w:cs="Times New Roman"/>
          <w:noProof/>
          <w:sz w:val="24"/>
          <w:szCs w:val="24"/>
        </w:rPr>
        <w:t xml:space="preserve"> (London: T. Carnan and Co, 1770), I, vii.</w:t>
      </w:r>
      <w:r w:rsidRPr="00B950C8">
        <w:rPr>
          <w:rFonts w:ascii="Times New Roman" w:hAnsi="Times New Roman" w:cs="Times New Roman"/>
          <w:sz w:val="24"/>
          <w:szCs w:val="24"/>
        </w:rPr>
        <w:fldChar w:fldCharType="end"/>
      </w:r>
    </w:p>
  </w:endnote>
  <w:endnote w:id="2">
    <w:p w14:paraId="699A0E80" w14:textId="678916E8"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There is a wealth of scholarship on this point. For works specific to the Australian context on which this essay is focussed see, for example,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{"citationItems":[{"id":"ITEM-1","itemData":{"author":[{"dropping-particle":"","family":"Arcens","given":"Louise D","non-dropping-particle":"","parse-names":false,"suffix":""},{"dropping-particle":"","family":"Lynch","given":"Andrew","non-dropping-particle":"","parse-names":false,"suffix":""},{"dropping-particle":"","family":"Trigg","given":"Stephanie","non-dropping-particle":"","parse-names":false,"suffix":""}],"container-title":"Australian Literary Studies","id":"ITEM-1","issued":{"date-parts":[["2011"]]},"page":"1-5","title":"Medievalism, Nationalism, Colonialism: Introduction","type":"article-journal"},"uris":["http://www.mendeley.com/documents/?uuid=e15e7466-502d-4e12-aa1d-7440ddedb325"]},{"id":"ITEM-2","itemData":{"ISSN":"1832-8334","author":[{"dropping-particle":"","family":"D'Arcens","given":"Louise","non-dropping-particle":"","parse-names":false,"suffix":""}],"container-title":"Parergon","id":"ITEM-2","issue":"2","issued":{"date-parts":[["2005"]]},"page":"159-182","title":"Inverse Invasions: Medievalism and Colonialism in Rolf Boldrewood's A Sydney-Side Saxon","type":"article-journal","volume":"22"},"uris":["http://www.mendeley.com/documents/?uuid=9b30235c-333a-4f66-be08-e2463a6be10b"]}],"mendeley":{"formattedCitation":"Louise D Arcens, Andrew Lynch, and Stephanie Trigg, “Medievalism, Nationalism, Colonialism: Introduction,” &lt;i&gt;Australian Literary Studies&lt;/i&gt;, 2011, 1–5; Louise D’Arcens, “Inverse Invasions: Medievalism and Colonialism in Rolf Boldrewood’s A Sydney-Side Saxon,” &lt;i&gt;Parergon&lt;/i&gt; 22, no. 2 (2005): 159–82.","plainTextFormattedCitation":"Louise D Arcens, Andrew Lynch, and Stephanie Trigg, “Medievalism, Nationalism, Colonialism: Introduction,” Australian Literary Studies, 2011, 1–5; Louise D’Arcens, “Inverse Invasions: Medievalism and Colonialism in Rolf Boldrewood’s A Sydney-Side Saxon,” Parergon 22, no. 2 (2005): 159–82.","previouslyFormattedCitation":"Louise D Arcens, Andrew Lynch, and Stephanie Trigg, “Medievalism, Nationalism, Colonialism: Introduction,” &lt;i&gt;Australian Literary Studies&lt;/i&gt;, 2011, 1–5; Louise D’Arcens, “Inverse Invasions: Medievalism and Colonialism in Rolf Boldrewood’s A Sydney-Side Saxon,” &lt;i&gt;Parergon&lt;/i&gt; 22, no. 2 (2005): 159–82."},"properties":{"noteIndex":0},"schema":"https://github.com/citation-style-language/schema/raw/master/csl-citation.json"}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Louise D Arcens, Andrew Lynch, and Stephanie Trigg, “Medievalism, Nationalism, Colonialism: Introduction,” </w:t>
      </w:r>
      <w:r w:rsidRPr="00B950C8">
        <w:rPr>
          <w:rFonts w:ascii="Times New Roman" w:hAnsi="Times New Roman" w:cs="Times New Roman"/>
          <w:i/>
          <w:noProof/>
          <w:sz w:val="24"/>
          <w:szCs w:val="24"/>
        </w:rPr>
        <w:t>Australian Literary Studies</w:t>
      </w:r>
      <w:r w:rsidRPr="00B950C8">
        <w:rPr>
          <w:rFonts w:ascii="Times New Roman" w:hAnsi="Times New Roman" w:cs="Times New Roman"/>
          <w:noProof/>
          <w:sz w:val="24"/>
          <w:szCs w:val="24"/>
        </w:rPr>
        <w:t xml:space="preserve">, 2011, 1–5; Louise D’Arcens, “Inverse Invasions: Medievalism and Colonialism in Rolf Boldrewood’s A Sydney-Side Saxon,” </w:t>
      </w:r>
      <w:r w:rsidRPr="00B950C8">
        <w:rPr>
          <w:rFonts w:ascii="Times New Roman" w:hAnsi="Times New Roman" w:cs="Times New Roman"/>
          <w:i/>
          <w:noProof/>
          <w:sz w:val="24"/>
          <w:szCs w:val="24"/>
        </w:rPr>
        <w:t>Parergon</w:t>
      </w:r>
      <w:r w:rsidRPr="00B950C8">
        <w:rPr>
          <w:rFonts w:ascii="Times New Roman" w:hAnsi="Times New Roman" w:cs="Times New Roman"/>
          <w:noProof/>
          <w:sz w:val="24"/>
          <w:szCs w:val="24"/>
        </w:rPr>
        <w:t xml:space="preserve"> 22, no. 2 (2005): 159–82.</w:t>
      </w:r>
      <w:r w:rsidRPr="00B950C8">
        <w:rPr>
          <w:rFonts w:ascii="Times New Roman" w:hAnsi="Times New Roman" w:cs="Times New Roman"/>
          <w:sz w:val="24"/>
          <w:szCs w:val="24"/>
        </w:rPr>
        <w:fldChar w:fldCharType="end"/>
      </w:r>
    </w:p>
  </w:endnote>
  <w:endnote w:id="3">
    <w:p w14:paraId="285CFE46" w14:textId="50311BFE"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See, for example,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{"citationItems":[{"id":"ITEM-1","itemData":{"author":[{"dropping-particle":"","family":"Davis","given":"Kathleen","non-dropping-particle":"","parse-names":false,"suffix":""}],"id":"ITEM-1","issued":{"date-parts":[["2008"]]},"publisher":"University of Pennsylvania Press","publisher-place":"Philadelphia","title":"Periodization and sovereignty : how ideas of feudalism and secularization govern the politics of time","type":"book"},"uris":["http://www.mendeley.com/documents/?uuid=a77a4e62-dda0-4002-bc3a-a3eaa8dfd973"]},{"id":"ITEM-2","itemData":{"DOI":"10.1111/lic3.12550","ISSN":"17414113","author":[{"dropping-particle":"","family":"Miyashiro","given":"Adam","non-dropping-particle":"","parse-names":false,"suffix":""}],"container-title":"Literature Compass","id":"ITEM-2","issue":"9-10","issued":{"date-parts":[["2019"]]},"page":"1-11","title":"“Our deeper past: Race, settler colonialism, and medieval heritage politics","type":"article-journal","volume":"16"},"uris":["http://www.mendeley.com/documents/?uuid=ec2b1fb3-6f5c-4ce0-a2ce-2f27d82abfb0"]}],"mendeley":{"formattedCitation":"Kathleen Davis, &lt;i&gt;Periodization and Sovereignty : How Ideas of Feudalism and Secularization Govern the Politics of Time&lt;/i&gt; (Philadelphia: University of Pennsylvania Press, 2008); Adam Miyashiro, ““Our Deeper Past: Race, Settler Colonialism, and Medieval Heritage Politics,” &lt;i&gt;Literature Compass&lt;/i&gt; 16, no. 9–10 (2019): 1–11, https://doi.org/10.1111/lic3.12550.","plainTextFormattedCitation":"Kathleen Davis, Periodization and Sovereignty : How Ideas of Feudalism and Secularization Govern the Politics of Time (Philadelphia: University of Pennsylvania Press, 2008); Adam Miyashiro, ““Our Deeper Past: Race, Settler Colonialism, and Medieval Heritage Politics,” Literature Compass 16, no. 9–10 (2019): 1–11, https://doi.org/10.1111/lic3.12550.","previouslyFormattedCitation":"Kathleen Davis, &lt;i&gt;Periodization and Sovereignty : How Ideas of Feudalism and Secularization Govern the Politics of Time&lt;/i&gt; (Philadelphia: University of Pennsylvania Press, 2008); Adam Miyashiro, ““Our Deeper Past: Race, Settler Colonialism, and Medieval Heritage Politics,” &lt;i&gt;Literature Compass&lt;/i&gt; 16, no. 9–10 (2019): 1–11, https://doi.org/10.1111/lic3.12550."},"properties":{"noteIndex":0},"schema":"https://github.com/citation-style-language/schema/raw/master/csl-citation.json"}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Kathleen Davis, </w:t>
      </w:r>
      <w:r w:rsidRPr="00B950C8">
        <w:rPr>
          <w:rFonts w:ascii="Times New Roman" w:hAnsi="Times New Roman" w:cs="Times New Roman"/>
          <w:i/>
          <w:noProof/>
          <w:sz w:val="24"/>
          <w:szCs w:val="24"/>
        </w:rPr>
        <w:t>Periodization and Sovereignty : How Ideas of Feudalism and Secularization Govern the Politics of Time</w:t>
      </w:r>
      <w:r w:rsidRPr="00B950C8">
        <w:rPr>
          <w:rFonts w:ascii="Times New Roman" w:hAnsi="Times New Roman" w:cs="Times New Roman"/>
          <w:noProof/>
          <w:sz w:val="24"/>
          <w:szCs w:val="24"/>
        </w:rPr>
        <w:t xml:space="preserve"> (Philadelphia: University of Pennsylvania Press, 2008); Adam Miyashiro, ““Our Deeper Past: Race, Settler Colonialism, and Medieval Heritage Politics,” </w:t>
      </w:r>
      <w:r w:rsidRPr="00B950C8">
        <w:rPr>
          <w:rFonts w:ascii="Times New Roman" w:hAnsi="Times New Roman" w:cs="Times New Roman"/>
          <w:i/>
          <w:noProof/>
          <w:sz w:val="24"/>
          <w:szCs w:val="24"/>
        </w:rPr>
        <w:t>Literature Compass</w:t>
      </w:r>
      <w:r w:rsidRPr="00B950C8">
        <w:rPr>
          <w:rFonts w:ascii="Times New Roman" w:hAnsi="Times New Roman" w:cs="Times New Roman"/>
          <w:noProof/>
          <w:sz w:val="24"/>
          <w:szCs w:val="24"/>
        </w:rPr>
        <w:t xml:space="preserve"> 16, no. 9–10 (2019): 1–11, https://doi.org/10.1111/lic3.12550.</w:t>
      </w:r>
      <w:r w:rsidRPr="00B950C8">
        <w:rPr>
          <w:rFonts w:ascii="Times New Roman" w:hAnsi="Times New Roman" w:cs="Times New Roman"/>
          <w:sz w:val="24"/>
          <w:szCs w:val="24"/>
        </w:rPr>
        <w:fldChar w:fldCharType="end"/>
      </w:r>
    </w:p>
  </w:endnote>
  <w:endnote w:id="4">
    <w:p w14:paraId="665BA060" w14:textId="55A03342"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DOI":"10.22201/fq.18708404e.2004.3.66178","ISBN":"0388854014","ISSN":"0187-893X","PMID":"21043497","author":[{"dropping-particle":"","family":"Nakata","given":"Martin","non-dropping-particle":"","parse-names":false,"suffix":""}],"id":"ITEM-1","issued":{"date-parts":[["2007"]]},"publisher":"Aboriginal Studies Press","title":"Disciplining the Savages : Savaging the Disciplines","type":"book"},"locator":"35","uris":["http://www.mendeley.com/documents/?uuid=f84ea356-739d-463e-90b2-8ab60c206c69"]}],"mendeley":{"formattedCitation":"Martin Nakata, &lt;i&gt;Disciplining the Savages : Savaging the Disciplines&lt;/i&gt; (Aboriginal Studies Press, 2007), 35, https://doi.org/10.22201/fq.18708404e.2004.3.66178.","manualFormatting":"Martin Nakata, Disciplining the Savages: Savaging the Disciplines (Aboriginal Studies Press, 2007), p. 35 .","plainTextFormattedCitation":"Martin Nakata, Disciplining the Savages : Savaging the Disciplines (Aboriginal Studies Press, 2007), 35, https://doi.org/10.22201/fq.18708404e.2004.3.66178.","previouslyFormattedCitation":"Martin Nakata, &lt;i&gt;Disciplining the Savages : Savaging the Disciplines&lt;/i&gt; (Aboriginal Studies Press, 2007), 35, https://doi.org/10.22201/fq.18708404e.2004.3.66178."},"properties":{"noteIndex":0},"schema":"https://github.com/citation-style-language/schema/raw/master/csl-citation.json"}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bCs/>
          <w:noProof/>
          <w:sz w:val="24"/>
          <w:szCs w:val="24"/>
          <w:lang w:val="en-US"/>
        </w:rPr>
        <w:t xml:space="preserve">Martin Nakata, </w:t>
      </w:r>
      <w:r w:rsidRPr="00B950C8">
        <w:rPr>
          <w:rFonts w:ascii="Times New Roman" w:hAnsi="Times New Roman" w:cs="Times New Roman"/>
          <w:bCs/>
          <w:i/>
          <w:noProof/>
          <w:sz w:val="24"/>
          <w:szCs w:val="24"/>
          <w:lang w:val="en-US"/>
        </w:rPr>
        <w:t>Disciplining the Savages: Savaging the Disciplines</w:t>
      </w:r>
      <w:r w:rsidRPr="00B950C8">
        <w:rPr>
          <w:rFonts w:ascii="Times New Roman" w:hAnsi="Times New Roman" w:cs="Times New Roman"/>
          <w:bCs/>
          <w:noProof/>
          <w:sz w:val="24"/>
          <w:szCs w:val="24"/>
          <w:lang w:val="en-US"/>
        </w:rPr>
        <w:t xml:space="preserve"> (Aboriginal Studies Press, 2007), p. 35 &lt;https://doi.org/10.22201/fq.18708404e.2004.3.66178&gt;.</w:t>
      </w:r>
      <w:r w:rsidRPr="00B950C8">
        <w:rPr>
          <w:rFonts w:ascii="Times New Roman" w:hAnsi="Times New Roman" w:cs="Times New Roman"/>
          <w:sz w:val="24"/>
          <w:szCs w:val="24"/>
        </w:rPr>
        <w:fldChar w:fldCharType="end"/>
      </w:r>
    </w:p>
  </w:endnote>
  <w:endnote w:id="5">
    <w:p w14:paraId="6C27877F" w14:textId="77777777" w:rsidR="00F421FF" w:rsidRPr="00B950C8" w:rsidRDefault="00F421FF" w:rsidP="00B950C8">
      <w:pPr>
        <w:pStyle w:val="EndnoteText"/>
        <w:spacing w:line="480" w:lineRule="auto"/>
        <w:rPr>
          <w:rFonts w:ascii="Times New Roman" w:hAnsi="Times New Roman" w:cs="Times New Roman"/>
          <w:b/>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On Percy’s race-thinking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{"citationItems":[{"id":"ITEM-1","itemData":{"DOI":"10.1111/lic3.12543","ISSN":"1741-4113","author":[{"dropping-particle":"","family":"Young","given":"Helen","non-dropping-particle":"","parse-names":false,"suffix":""}],"container-title":"Literature Compass","id":"ITEM-1","issue":"9-10","issued":{"date-parts":[["2019"]]},"title":"Thomas Percy's racialization of the European Middle Ages","type":"article-journal","volume":"16"},"uris":["http://www.mendeley.com/documents/?uuid=41ddfd18-3f51-4434-9031-8752c5dc3783"]}],"mendeley":{"formattedCitation":"Helen Young, “Thomas Percy’s Racialization of the European Middle Ages,” &lt;i&gt;Literature Compass&lt;/i&gt; 16, no. 9–10 (2019), https://doi.org/10.1111/lic3.12543.","plainTextFormattedCitation":"Helen Young, “Thomas Percy’s Racialization of the European Middle Ages,” Literature Compass 16, no. 9–10 (2019), https://doi.org/10.1111/lic3.12543.","previouslyFormattedCitation":"Helen Young, “Thomas Percy’s Racialization of the European Middle Ages,” &lt;i&gt;Literature Compass&lt;/i&gt; 16, no. 9–10 (2019), https://doi.org/10.1111/lic3.12543."},"properties":{"noteIndex":0},"schema":"https://github.com/citation-style-language/schema/raw/master/csl-citation.json"}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Helen Young, “Thomas Percy’s Racialization of the European Middle Ages,” </w:t>
      </w:r>
      <w:r w:rsidRPr="00B950C8">
        <w:rPr>
          <w:rFonts w:ascii="Times New Roman" w:hAnsi="Times New Roman" w:cs="Times New Roman"/>
          <w:i/>
          <w:noProof/>
          <w:sz w:val="24"/>
          <w:szCs w:val="24"/>
        </w:rPr>
        <w:t>Literature Compass</w:t>
      </w:r>
      <w:r w:rsidRPr="00B950C8">
        <w:rPr>
          <w:rFonts w:ascii="Times New Roman" w:hAnsi="Times New Roman" w:cs="Times New Roman"/>
          <w:noProof/>
          <w:sz w:val="24"/>
          <w:szCs w:val="24"/>
        </w:rPr>
        <w:t xml:space="preserve"> 16, no. 9–10 (2019), https://doi.org/10.1111/lic3.12543.</w:t>
      </w:r>
      <w:r w:rsidRPr="00B950C8">
        <w:rPr>
          <w:rFonts w:ascii="Times New Roman" w:hAnsi="Times New Roman" w:cs="Times New Roman"/>
          <w:sz w:val="24"/>
          <w:szCs w:val="24"/>
        </w:rPr>
        <w:fldChar w:fldCharType="end"/>
      </w:r>
    </w:p>
  </w:endnote>
  <w:endnote w:id="6">
    <w:p w14:paraId="74A42B5C" w14:textId="7B8F702D"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{"citationItems":[{"id":"ITEM-1","itemData":{"DOI":"10.1111/taja.12122","ISSN":"17576547","abstract":"Time is one mechanism through which Indigenous‐modern dichotomies are created and maintained and an enduring trope of difference in the settler‐colonial imaginary. This article explores the strange temporality of indigeneity within ‘progressive’ discourses in Australia. Taking Johannes Fabian's concept of ‘allochronism’ as a point of departure, and drawing on ethnography of non‐Indigenous people working in Indigenous health in the Northern Territory, I show how there is a kind of cultural Lamarckianism in operation. ‘Western’ individuals are seen to inherit the cumulative cultural knowledge, acquired over centuries, of germ theory and responsible alcohol consumption. By contrast, Indigenous people are seen to struggle with banking and infectious diseases because they have not had sufficient time to develop the appropriate cultural knowledge. Through the anthropomorphising of culture and the culturalisation of individuals, the Indigenous person/culture becomes the 40,000‐year history of human occupation of the continent. I point to the limits of this settler‐colonial imaginary and potential alternatives.","author":[{"dropping-particle":"","family":"Kowal","given":"Emma","non-dropping-particle":"","parse-names":false,"suffix":""}],"container-title":"Australian Journal of Anthropology","id":"ITEM-1","issue":"1","issued":{"date-parts":[["2015"]]},"page":"94-111","title":"Time, indigeneity and white anti-racism in Australia","type":"article-journal","volume":"26"},"locator":"95","uris":["http://www.mendeley.com/documents/?uuid=f21253ac-fb00-4168-89e1-f02daeaef2ac"]}],"mendeley":{"formattedCitation":"Emma Kowal, “Time, Indigeneity and White Anti-Racism in Australia,” &lt;i&gt;Australian Journal of Anthropology&lt;/i&gt; 26, no. 1 (2015): 95, https://doi.org/10.1111/taja.12122.","plainTextFormattedCitation":"Emma Kowal, “Time, Indigeneity and White Anti-Racism in Australia,” Australian Journal of Anthropology 26, no. 1 (2015): 95, https://doi.org/10.1111/taja.12122.","previouslyFormattedCitation":"Emma Kowal, “Time, Indigeneity and White Anti-Racism in Australia,” &lt;i&gt;Australian Journal of Anthropology&lt;/i&gt; 26, no. 1 (2015): 95, https://doi.org/10.1111/taja.12122."},"properties":{"noteIndex":0},"schema":"https://github.com/citation-style-language/schema/raw/master/csl-citation.json"}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Emma Kowal, “Time, Indigeneity and White Anti-Racism in Australia,” </w:t>
      </w:r>
      <w:r w:rsidRPr="00B950C8">
        <w:rPr>
          <w:rFonts w:ascii="Times New Roman" w:hAnsi="Times New Roman" w:cs="Times New Roman"/>
          <w:i/>
          <w:noProof/>
          <w:sz w:val="24"/>
          <w:szCs w:val="24"/>
        </w:rPr>
        <w:t>Australian Journal of Anthropology</w:t>
      </w:r>
      <w:r w:rsidRPr="00B950C8">
        <w:rPr>
          <w:rFonts w:ascii="Times New Roman" w:hAnsi="Times New Roman" w:cs="Times New Roman"/>
          <w:noProof/>
          <w:sz w:val="24"/>
          <w:szCs w:val="24"/>
        </w:rPr>
        <w:t xml:space="preserve"> 26, no. 1 (2015): 95, https://doi.org/10.1111/taja.12122.</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In this argument, Kowal draws on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{"citationItems":[{"id":"ITEM-1","itemData":{"author":[{"dropping-particle":"","family":"Fabian","given":"Johannes","non-dropping-particle":"","parse-names":false,"suffix":""}],"id":"ITEM-1","issued":{"date-parts":[["1983"]]},"publisher":"Columbia University Press","publisher-place":"New York","title":"Time and the Other: How Anthropology Makes its Object","type":"book"},"uris":["http://www.mendeley.com/documents/?uuid=ffbad9a8-e773-4494-8796-5fd0160cd98a"]}],"mendeley":{"formattedCitation":"Johannes Fabian, &lt;i&gt;Time and the Other: How Anthropology Makes Its Object&lt;/i&gt; (New York: Columbia University Press, 1983).","plainTextFormattedCitation":"Johannes Fabian, Time and the Other: How Anthropology Makes Its Object (New York: Columbia University Press, 1983).","previouslyFormattedCitation":"Johannes Fabian, &lt;i&gt;Time and the Other: How Anthropology Makes Its Object&lt;/i&gt; (New York: Columbia University Press, 1983)."},"properties":{"noteIndex":0},"schema":"https://github.com/citation-style-language/schema/raw/master/csl-citation.json"}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Johannes Fabian, </w:t>
      </w:r>
      <w:r w:rsidRPr="00B950C8">
        <w:rPr>
          <w:rFonts w:ascii="Times New Roman" w:hAnsi="Times New Roman" w:cs="Times New Roman"/>
          <w:i/>
          <w:noProof/>
          <w:sz w:val="24"/>
          <w:szCs w:val="24"/>
        </w:rPr>
        <w:t>Time and the Other: How Anthropology Makes Its Object</w:t>
      </w:r>
      <w:r w:rsidRPr="00B950C8">
        <w:rPr>
          <w:rFonts w:ascii="Times New Roman" w:hAnsi="Times New Roman" w:cs="Times New Roman"/>
          <w:noProof/>
          <w:sz w:val="24"/>
          <w:szCs w:val="24"/>
        </w:rPr>
        <w:t xml:space="preserve"> (New York: Columbia University Press, 1983).</w:t>
      </w:r>
      <w:r w:rsidRPr="00B950C8">
        <w:rPr>
          <w:rFonts w:ascii="Times New Roman" w:hAnsi="Times New Roman" w:cs="Times New Roman"/>
          <w:sz w:val="24"/>
          <w:szCs w:val="24"/>
        </w:rPr>
        <w:fldChar w:fldCharType="end"/>
      </w:r>
    </w:p>
  </w:endnote>
  <w:endnote w:id="7">
    <w:p w14:paraId="4F8319CC" w14:textId="5A599AB9"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On ‘medieval’ as a racializing colonialist and imperialist category see , for example,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{"citationItems":[{"id":"ITEM-1","itemData":{"author":[{"dropping-particle":"","family":"Davis","given":"Kathleen","non-dropping-particle":"","parse-names":false,"suffix":""}],"id":"ITEM-1","issued":{"date-parts":[["2008"]]},"publisher":"University of Pennsylvania Press","publisher-place":"Philadelphia","title":"Periodization and sovereignty : how ideas of feudalism and secularization govern the politics of time","type":"book"},"uris":["http://www.mendeley.com/documents/?uuid=a77a4e62-dda0-4002-bc3a-a3eaa8dfd973"]},{"id":"ITEM-2","itemData":{"DOI":"10.1353/sac.2001.0013","ISSN":"1949-0755","author":[{"dropping-particle":"","family":"Dinshaw","given":"Carolyn","non-dropping-particle":"","parse-names":false,"suffix":""}],"container-title":"Studies in the Age of Chaucer","id":"ITEM-2","issue":"1","issued":{"date-parts":[["2001"]]},"page":"19-41","title":"Pale Faces: Race, Religion, and Affect in Chaucer’s Texts and Their Readers","type":"article-journal","volume":"23"},"uris":["http://www.mendeley.com/documents/?uuid=5a80debc-0618-42f8-9a69-b9abbffe7bfa"]},{"id":"ITEM-3","itemData":{"DOI":"10.1177/1367877907080147","ISSN":"13678779","abstract":"The location of Orientalist racial difference and Ornamental class familiarity in imperial discourse can be combined to understand the nuances of colonial representations. Revisiting the Malay image, I argue that the medievalist convention of portraying the native as situated in intermediate evolution between savagery and Western civilization was crucial for imperialism. The Malay image shifted from the representation of orientals exhibiting incommensurable difference in early European travelogues to civilizable medievals in early nineteenth-century British writings. British authors also vacillated between representing Malays as model and degenerate medievals with different racial and class symbolic valences. The vacillating representation influenced colonial state building in the late nineteenth century. I show this by looking at the travel writings of British and American colonial statesmen who supported contrastive colonial policies.","author":[{"dropping-particle":"","family":"Goh","given":"Daniel P.S.","non-dropping-particle":"","parse-names":false,"suffix":""}],"container-title":"International Journal of Cultural Studies","id":"ITEM-3","issue":"3","issued":{"date-parts":[["2007"]]},"page":"323-341","title":"Imperialism and 'medieval' natives: The Malay image in Anglo-American travelogues and colonialism in Malaya and the Philippines","type":"article-journal","volume":"10"},"uris":["http://www.mendeley.com/documents/?uuid=eaca942f-e441-4e35-9ec7-6c6b5a0da541"]},{"id":"ITEM-4","itemData":{"DOI":"10.1111/lic3.12550","ISSN":"17414113","author":[{"dropping-particle":"","family":"Miyashiro","given":"Adam","non-dropping-particle":"","parse-names":false,"suffix":""}],"container-title":"Literature Compass","id":"ITEM-4","issue":"9-10","issued":{"date-parts":[["2019"]]},"page":"1-11","title":"“Our deeper past: Race, settler colonialism, and medieval heritage politics","type":"article-journal","volume":"16"},"uris":["http://www.mendeley.com/documents/?uuid=ec2b1fb3-6f5c-4ce0-a2ce-2f27d82abfb0"]}],"mendeley":{"formattedCitation":"Davis, &lt;i&gt;Periodization and Sovereignty : How Ideas of Feudalism and Secularization Govern the Politics of Time&lt;/i&gt;; Carolyn Dinshaw, “Pale Faces: Race, Religion, and Affect in Chaucer’s Texts and Their Readers,” &lt;i&gt;Studies in the Age of Chaucer&lt;/i&gt; 23, no. 1 (2001): 19–41, https://doi.org/10.1353/sac.2001.0013; Daniel P.S. Goh, “Imperialism and ‘medieval’ Natives: The Malay Image in Anglo-American Travelogues and Colonialism in Malaya and the Philippines,” &lt;i&gt;International Journal of Cultural Studies&lt;/i&gt; 10, no. 3 (2007): 323–41, https://doi.org/10.1177/1367877907080147; Miyashiro, ““Our Deeper Past: Race, Settler Colonialism, and Medieval Heritage Politics.”","plainTextFormattedCitation":"Davis, Periodization and Sovereignty : How Ideas of Feudalism and Secularization Govern the Politics of Time; Carolyn Dinshaw, “Pale Faces: Race, Religion, and Affect in Chaucer’s Texts and Their Readers,” Studies in the Age of Chaucer 23, no. 1 (2001): 19–41, https://doi.org/10.1353/sac.2001.0013; Daniel P.S. Goh, “Imperialism and ‘medieval’ Natives: The Malay Image in Anglo-American Travelogues and Colonialism in Malaya and the Philippines,” International Journal of Cultural Studies 10, no. 3 (2007): 323–41, https://doi.org/10.1177/1367877907080147; Miyashiro, ““Our Deeper Past: Race, Settler Colonialism, and Medieval Heritage Politics.”","previouslyFormattedCitation":"Davis, &lt;i&gt;Periodization and Sovereignty : How Ideas of Feudalism and Secularization Govern the Politics of Time&lt;/i&gt;; Carolyn Dinshaw, “Pale Faces: Race, Religion, and Affect in Chaucer’s Texts and Their Readers,” &lt;i&gt;Studies in the Age of Chaucer&lt;/i&gt; 23, no. 1 (2001): 19–41, https://doi.org/10.1353/sac.2001.0013; Daniel P.S. Goh, “Imperialism and ‘medieval’ Natives: The Malay Image in Anglo-American Travelogues and Colonialism in Malaya and the Philippines,” &lt;i&gt;International Journal of Cultural Studies&lt;/i&gt; 10, no. 3 (2007): 323–41, https://doi.org/10.1177/1367877907080147; Miyashiro, ““Our Deeper Past: Race, Settler Colonialism, and Medieval Heritage Politics.”"},"properties":{"noteIndex":0},"schema":"https://github.com/citation-style-language/schema/raw/master/csl-citation.json"}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Davis, </w:t>
      </w:r>
      <w:r w:rsidRPr="00B950C8">
        <w:rPr>
          <w:rFonts w:ascii="Times New Roman" w:hAnsi="Times New Roman" w:cs="Times New Roman"/>
          <w:i/>
          <w:noProof/>
          <w:sz w:val="24"/>
          <w:szCs w:val="24"/>
        </w:rPr>
        <w:t>Periodization and Sovereignty : How Ideas of Feudalism and Secularization Govern the Politics of Time</w:t>
      </w:r>
      <w:r w:rsidRPr="00B950C8">
        <w:rPr>
          <w:rFonts w:ascii="Times New Roman" w:hAnsi="Times New Roman" w:cs="Times New Roman"/>
          <w:noProof/>
          <w:sz w:val="24"/>
          <w:szCs w:val="24"/>
        </w:rPr>
        <w:t xml:space="preserve">; Carolyn Dinshaw, “Pale Faces: Race, Religion, and Affect in Chaucer’s Texts and Their Readers,” </w:t>
      </w:r>
      <w:r w:rsidRPr="00B950C8">
        <w:rPr>
          <w:rFonts w:ascii="Times New Roman" w:hAnsi="Times New Roman" w:cs="Times New Roman"/>
          <w:i/>
          <w:noProof/>
          <w:sz w:val="24"/>
          <w:szCs w:val="24"/>
        </w:rPr>
        <w:t>Studies in the Age of Chaucer</w:t>
      </w:r>
      <w:r w:rsidRPr="00B950C8">
        <w:rPr>
          <w:rFonts w:ascii="Times New Roman" w:hAnsi="Times New Roman" w:cs="Times New Roman"/>
          <w:noProof/>
          <w:sz w:val="24"/>
          <w:szCs w:val="24"/>
        </w:rPr>
        <w:t xml:space="preserve"> 23, no. 1 (2001): 19–41, https://doi.org/10.1353/sac.2001.0013; Daniel P.S. Goh, “Imperialism and ‘medieval’ Natives: The Malay Image in Anglo-American Travelogues and Colonialism in Malaya and the Philippines,” </w:t>
      </w:r>
      <w:r w:rsidRPr="00B950C8">
        <w:rPr>
          <w:rFonts w:ascii="Times New Roman" w:hAnsi="Times New Roman" w:cs="Times New Roman"/>
          <w:i/>
          <w:noProof/>
          <w:sz w:val="24"/>
          <w:szCs w:val="24"/>
        </w:rPr>
        <w:t>International Journal of Cultural Studies</w:t>
      </w:r>
      <w:r w:rsidRPr="00B950C8">
        <w:rPr>
          <w:rFonts w:ascii="Times New Roman" w:hAnsi="Times New Roman" w:cs="Times New Roman"/>
          <w:noProof/>
          <w:sz w:val="24"/>
          <w:szCs w:val="24"/>
        </w:rPr>
        <w:t xml:space="preserve"> 10, no. 3 (2007): 323–41, https://doi.org/10.1177/1367877907080147; Miyashiro, ““Our Deeper Past: Race, Settler Colonialism, and Medieval Heritage Politics.”</w:t>
      </w:r>
      <w:r w:rsidRPr="00B950C8">
        <w:rPr>
          <w:rFonts w:ascii="Times New Roman" w:hAnsi="Times New Roman" w:cs="Times New Roman"/>
          <w:sz w:val="24"/>
          <w:szCs w:val="24"/>
        </w:rPr>
        <w:fldChar w:fldCharType="end"/>
      </w:r>
    </w:p>
  </w:endnote>
  <w:endnote w:id="8">
    <w:p w14:paraId="0EC4BE3C" w14:textId="7F086E82"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{"citationItems":[{"id":"ITEM-1","itemData":{"author":[{"dropping-particle":"","family":"Brown","given":"Catherine","non-dropping-particle":"","parse-names":false,"suffix":""}],"container-title":"Journal of Medieval and Early Modern Studies","id":"ITEM-1","issue":"3","issued":{"date-parts":[["2000"]]},"page":"547-74","title":"In the Middle","type":"article-journal","volume":"30"},"prefix":"See, for example, ","uris":["http://www.mendeley.com/documents/?uuid=5d739ce0-824c-40c0-aadd-c8d708702ab5"]}],"mendeley":{"formattedCitation":"See, for example, Catherine Brown, “In the Middle,” &lt;i&gt;Journal of Medieval and Early Modern Studies&lt;/i&gt; 30, no. 3 (2000): 547–74.","plainTextFormattedCitation":"See, for example, Catherine Brown, “In the Middle,” Journal of Medieval and Early Modern Studies 30, no. 3 (2000): 547–74.","previouslyFormattedCitation":"See, for example, Catherine Brown, “In the Middle,” &lt;i&gt;Journal of Medieval and Early Modern Studies&lt;/i&gt; 30, no. 3 (2000): 547–74."},"properties":{"noteIndex":0},"schema":"https://github.com/citation-style-language/schema/raw/master/csl-citation.json"}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See, for example, Catherine Brown, “In the Middle,” </w:t>
      </w:r>
      <w:r w:rsidRPr="00B950C8">
        <w:rPr>
          <w:rFonts w:ascii="Times New Roman" w:hAnsi="Times New Roman" w:cs="Times New Roman"/>
          <w:i/>
          <w:noProof/>
          <w:sz w:val="24"/>
          <w:szCs w:val="24"/>
        </w:rPr>
        <w:t>Journal of Medieval and Early Modern Studies</w:t>
      </w:r>
      <w:r w:rsidRPr="00B950C8">
        <w:rPr>
          <w:rFonts w:ascii="Times New Roman" w:hAnsi="Times New Roman" w:cs="Times New Roman"/>
          <w:noProof/>
          <w:sz w:val="24"/>
          <w:szCs w:val="24"/>
        </w:rPr>
        <w:t xml:space="preserve"> 30, no. 3 (2000): 547–74.</w:t>
      </w:r>
      <w:r w:rsidRPr="00B950C8">
        <w:rPr>
          <w:rFonts w:ascii="Times New Roman" w:hAnsi="Times New Roman" w:cs="Times New Roman"/>
          <w:sz w:val="24"/>
          <w:szCs w:val="24"/>
        </w:rPr>
        <w:fldChar w:fldCharType="end"/>
      </w:r>
    </w:p>
  </w:endnote>
  <w:endnote w:id="9">
    <w:p w14:paraId="48D63272" w14:textId="77777777"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{"citationItems":[{"id":"ITEM-1","itemData":{"author":[{"dropping-particle":"","family":"Tuhiwai Smith","given":"Linda","non-dropping-particle":"","parse-names":false,"suffix":""}],"edition":"2nd","id":"ITEM-1","issued":{"date-parts":[["2012"]]},"publisher":"Zed Books","publisher-place":"London and New York","title":"Decolonizing Methodologies: Research and Indigenous Peoples","type":"book"},"locator":"94","uris":["http://www.mendeley.com/documents/?uuid=868d3010-a235-40e9-aecc-d73c47805f95"]}],"mendeley":{"formattedCitation":"Linda Tuhiwai Smith, &lt;i&gt;Decolonizing Methodologies: Research and Indigenous Peoples&lt;/i&gt;, 2nd ed. (London and New York: Zed Books, 2012), 94.","plainTextFormattedCitation":"Linda Tuhiwai Smith, Decolonizing Methodologies: Research and Indigenous Peoples, 2nd ed. (London and New York: Zed Books, 2012), 94.","previouslyFormattedCitation":"Linda Tuhiwai Smith, &lt;i&gt;Decolonizing Methodologies: Research and Indigenous Peoples&lt;/i&gt;, 2nd ed. (London and New York: Zed Books, 2012), 94."},"properties":{"noteIndex":0},"schema":"https://github.com/citation-style-language/schema/raw/master/csl-citation.json"}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Linda Tuhiwai Smith, </w:t>
      </w:r>
      <w:r w:rsidRPr="00B950C8">
        <w:rPr>
          <w:rFonts w:ascii="Times New Roman" w:hAnsi="Times New Roman" w:cs="Times New Roman"/>
          <w:i/>
          <w:noProof/>
          <w:sz w:val="24"/>
          <w:szCs w:val="24"/>
        </w:rPr>
        <w:t>Decolonizing Methodologies: Research and Indigenous Peoples</w:t>
      </w:r>
      <w:r w:rsidRPr="00B950C8">
        <w:rPr>
          <w:rFonts w:ascii="Times New Roman" w:hAnsi="Times New Roman" w:cs="Times New Roman"/>
          <w:noProof/>
          <w:sz w:val="24"/>
          <w:szCs w:val="24"/>
        </w:rPr>
        <w:t>, 2nd ed. (London and New York: Zed Books, 2012), 94.</w:t>
      </w:r>
      <w:r w:rsidRPr="00B950C8">
        <w:rPr>
          <w:rFonts w:ascii="Times New Roman" w:hAnsi="Times New Roman" w:cs="Times New Roman"/>
          <w:sz w:val="24"/>
          <w:szCs w:val="24"/>
        </w:rPr>
        <w:fldChar w:fldCharType="end"/>
      </w:r>
    </w:p>
  </w:endnote>
  <w:endnote w:id="10">
    <w:p w14:paraId="5C5A258A" w14:textId="77777777"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{"citationItems":[{"id":"ITEM-1","itemData":{"author":[{"dropping-particle":"","family":"Tuhiwai Smith","given":"Linda","non-dropping-particle":"","parse-names":false,"suffix":""}],"edition":"2nd","id":"ITEM-1","issued":{"date-parts":[["2012"]]},"publisher":"Zed Books","publisher-place":"London and New York","title":"Decolonizing Methodologies: Research and Indigenous Peoples","type":"book"},"locator":"95","uris":["http://www.mendeley.com/documents/?uuid=868d3010-a235-40e9-aecc-d73c47805f95"]}],"mendeley":{"formattedCitation":"Tuhiwai Smith, 95.","plainTextFormattedCitation":"Tuhiwai Smith, 95.","previouslyFormattedCitation":"Tuhiwai Smith, 95."},"properties":{"noteIndex":0},"schema":"https://github.com/citation-style-language/schema/raw/master/csl-citation.json"}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Tuhiwai Smith, 95.</w:t>
      </w:r>
      <w:r w:rsidRPr="00B950C8">
        <w:rPr>
          <w:rFonts w:ascii="Times New Roman" w:hAnsi="Times New Roman" w:cs="Times New Roman"/>
          <w:sz w:val="24"/>
          <w:szCs w:val="24"/>
        </w:rPr>
        <w:fldChar w:fldCharType="end"/>
      </w:r>
    </w:p>
  </w:endnote>
  <w:endnote w:id="11">
    <w:p w14:paraId="095F0F14" w14:textId="576640AC"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{"citationItems":[{"id":"ITEM-1","itemData":{"author":[{"dropping-particle":"","family":"Tuhiwai Smith","given":"Linda","non-dropping-particle":"","parse-names":false,"suffix":""}],"edition":"2nd","id":"ITEM-1","issued":{"date-parts":[["2012"]]},"publisher":"Zed Books","publisher-place":"London and New York","title":"Decolonizing Methodologies: Research and Indigenous Peoples","type":"book"},"locator":"97-98","uris":["http://www.mendeley.com/documents/?uuid=868d3010-a235-40e9-aecc-d73c47805f95"]}],"mendeley":{"formattedCitation":"Tuhiwai Smith, 97–98.","plainTextFormattedCitation":"Tuhiwai Smith, 97–98.","previouslyFormattedCitation":"Tuhiwai Smith, 97–98."},"properties":{"noteIndex":0},"schema":"https://github.com/citation-style-language/schema/raw/master/csl-citation.json"}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Tuhiwai Smith, 97–98.</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Tuhiwai Smith uses the work of David Goldberg in the section on race and states that “there was no explicit category or space in medieval thought for racial differentiation”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{"citationItems":[{"id":"ITEM-1","itemData":{"author":[{"dropping-particle":"","family":"Tuhiwai Smith","given":"Linda","non-dropping-particle":"","parse-names":false,"suffix":""}],"edition":"2nd","id":"ITEM-1","issued":{"date-parts":[["2012"]]},"publisher":"Zed Books","publisher-place":"London and New York","title":"Decolonizing Methodologies: Research and Indigenous Peoples","type":"book"},"locator":"97","suppress-author":1,"uris":["http://www.mendeley.com/documents/?uuid=868d3010-a235-40e9-aecc-d73c47805f95"]}],"mendeley":{"formattedCitation":"97.","plainTextFormattedCitation":"97.","previouslyFormattedCitation":"97."},"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97.</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Goldberg","given":"David","non-dropping-particle":"","parse-names":false,"suffix":""}],"id":"ITEM-1","issued":{"date-parts":[["1993"]]},"publisher":"Blackwell","publisher-place":"Oxford","title":"Racist Culture, Philosophy and the Politics of Meaning","type":"book"},"uris":["http://www.mendeley.com/documents/?uuid=a8326779-64df-42ad-b8ab-3639c5dd9803"]}],"mendeley":{"formattedCitation":"David Goldberg, &lt;i&gt;Racist Culture, Philosophy and the Politics of Meaning&lt;/i&gt; (Oxford: Blackwell, 1993).","plainTextFormattedCitation":"David Goldberg, Racist Culture, Philosophy and the Politics of Meaning (Oxford: Blackwell, 1993).","previouslyFormattedCitation":"David Goldberg, &lt;i&gt;Racist Culture, Philosophy and the Politics of Meaning&lt;/i&gt; (Oxford: Blackwell, 1993)."},"properties":{"noteIndex":0},"schema":"https://github.com/citation-style-language/schema/raw/master/csl-citation.json"}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David Goldberg, </w:t>
      </w:r>
      <w:r w:rsidRPr="00B950C8">
        <w:rPr>
          <w:rFonts w:ascii="Times New Roman" w:hAnsi="Times New Roman" w:cs="Times New Roman"/>
          <w:i/>
          <w:noProof/>
          <w:sz w:val="24"/>
          <w:szCs w:val="24"/>
        </w:rPr>
        <w:t>Racist Culture, Philosophy and the Politics of Meaning</w:t>
      </w:r>
      <w:r w:rsidRPr="00B950C8">
        <w:rPr>
          <w:rFonts w:ascii="Times New Roman" w:hAnsi="Times New Roman" w:cs="Times New Roman"/>
          <w:noProof/>
          <w:sz w:val="24"/>
          <w:szCs w:val="24"/>
        </w:rPr>
        <w:t xml:space="preserve"> (Oxford: Blackwell, 1993).</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Geraldine Heng demonstrates that this is not the case,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{"citationItems":[{"id":"ITEM-1","itemData":{"author":[{"dropping-particle":"","family":"Heng","given":"Geraldine","non-dropping-particle":"","parse-names":false,"suffix":""}],"id":"ITEM-1","issued":{"date-parts":[["2018"]]},"publisher":"Cambridge University Press","publisher-place":"Cambridge","title":"The Invention of Race in the European Middle Ages","type":"book"},"suppress-author":1,"uris":["http://www.mendeley.com/documents/?uuid=c4bbc385-a5ba-4727-856a-23497b5a1c57"]}],"mendeley":{"formattedCitation":"&lt;i&gt;The Invention of Race in the European Middle Ages&lt;/i&gt; (Cambridge: Cambridge University Press, 2018).","plainTextFormattedCitation":"The Invention of Race in the European Middle Ages (Cambridge: Cambridge University Press, 2018).","previouslyFormattedCitation":"&lt;i&gt;The Invention of Race in the European Middle Ages&lt;/i&gt; (Cambridge: Cambridge University Press, 2018)."},"properties":{"noteIndex":0},"schema":"https://github.com/citation-style-language/schema/raw/master/csl-citation.json"}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i/>
          <w:noProof/>
          <w:sz w:val="24"/>
          <w:szCs w:val="24"/>
        </w:rPr>
        <w:t>The Invention of Race in the European Middle Ages</w:t>
      </w:r>
      <w:r w:rsidRPr="00B950C8">
        <w:rPr>
          <w:rFonts w:ascii="Times New Roman" w:hAnsi="Times New Roman" w:cs="Times New Roman"/>
          <w:noProof/>
          <w:sz w:val="24"/>
          <w:szCs w:val="24"/>
        </w:rPr>
        <w:t xml:space="preserve"> (Cambridge: Cambridge University Press, 2018).</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The point is not significant to either Tuhiwai Smith’s argument or my own. See also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{"citationItems":[{"id":"ITEM-1","itemData":{"author":[{"dropping-particle":"","family":"Campbell","given":"Kofi","non-dropping-particle":"","parse-names":false,"suffix":""}],"container-title":"Medievalisms in the Postcolonial World: the Idea of 'the Middle Ages' Outside Europe","editor":[{"dropping-particle":"","family":"Davis","given":"Kathleen","non-dropping-particle":"","parse-names":false,"suffix":""},{"dropping-particle":"","family":"Altschul","given":"Nadia R.","non-dropping-particle":"","parse-names":false,"suffix":""}],"id":"ITEM-1","issued":{"date-parts":[["2009"]]},"page":"325-347","publisher":"Johns Hopkins University Press","publisher-place":"Baltimore","title":"A Clash of Medieval Cultures: Amerindians and COnquisators in the Thought of Wilson Harris","type":"chapter"},"uris":["http://www.mendeley.com/documents/?uuid=258693ff-dcc0-4c74-bdb9-3b841c5964ba"]},{"id":"ITEM-2","itemData":{"author":[{"dropping-particle":"","family":"Ramey","given":"Lynn","non-dropping-particle":"","parse-names":false,"suffix":""}],"container-title":"L'Esprit Créateur","id":"ITEM-2","issue":"1","issued":{"date-parts":[["2008"]]},"page":"81-95","title":"Monstrous Alterity in Early Modern Travel Accounts: Lessons from the Ambiguous Medieval Discourse on Humanities","type":"article-journal","volume":"48"},"uris":["http://www.mendeley.com/documents/?uuid=336d07f3-a79f-4e87-9f18-d98736635caa"]},{"id":"ITEM-3","itemData":{"author":[{"dropping-particle":"","family":"McNiven","given":"Ian J.","non-dropping-particle":"","parse-names":false,"suffix":""},{"dropping-particle":"","family":"Russell","given":"Lynette","non-dropping-particle":"","parse-names":false,"suffix":""}],"id":"ITEM-3","issued":{"date-parts":[["2005"]]},"publisher":"AltaMira Press","publisher-place":"Oxford","title":"Appropriated Pasts: Indigenous Peoples and the Colonial Culture of Archaeology","type":"book"},"locator":"35-36","uris":["http://www.mendeley.com/documents/?uuid=15f447b5-6355-4925-b821-97c215e835cf"]}],"mendeley":{"formattedCitation":"Kofi Campbell, “A Clash of Medieval Cultures: Amerindians and COnquisators in the Thought of Wilson Harris,” in &lt;i&gt;Medievalisms in the Postcolonial World: The Idea of “the Middle Ages” Outside Europe&lt;/i&gt;, ed. Kathleen Davis and Nadia R. Altschul (Baltimore: Johns Hopkins University Press, 2009), 325–47; Lynn Ramey, “Monstrous Alterity in Early Modern Travel Accounts: Lessons from the Ambiguous Medieval Discourse on Humanities,” &lt;i&gt;L’Esprit Créateur&lt;/i&gt; 48, no. 1 (2008): 81–95; Ian J. McNiven and Lynette Russell, &lt;i&gt;Appropriated Pasts: Indigenous Peoples and the Colonial Culture of Archaeology&lt;/i&gt; (Oxford: AltaMira Press, 2005), 35–36.","manualFormatting":"Kofi Campbell, ‘A Clash of Medieval Cultures: Amerindians and Conquisators in the Thought of Wilson Harris’, in Medievalisms in the Postcolonial World: The Idea of ‘the Middle Ages’ Outside Europe, ed. by Kathleen Davis and Nadia R. Altschul (Baltimore: Johns Hopkins University Press, 2009), pp. 325–47; Lynn Ramey, ‘Monstrous Alterity in Early Modern Travel Accounts: Lessons from the Ambiguous Medieval Discourse on Humanities’, L’Esprit Créateur, 48.1 (2008), 81–95; Ian J. McNiven and Lynette Russell, Appropriated Pasts: Indigenous Peoples and the Colonial Culture of Archaeology (Oxford: AltaMira Press, 2005), pp. 35–36.","plainTextFormattedCitation":"Kofi Campbell, “A Clash of Medieval Cultures: Amerindians and COnquisators in the Thought of Wilson Harris,” in Medievalisms in the Postcolonial World: The Idea of “the Middle Ages” Outside Europe, ed. Kathleen Davis and Nadia R. Altschul (Baltimore: Johns Hopkins University Press, 2009), 325–47; Lynn Ramey, “Monstrous Alterity in Early Modern Travel Accounts: Lessons from the Ambiguous Medieval Discourse on Humanities,” L’Esprit Créateur 48, no. 1 (2008): 81–95; Ian J. McNiven and Lynette Russell, Appropriated Pasts: Indigenous Peoples and the Colonial Culture of Archaeology (Oxford: AltaMira Press, 2005), 35–36.","previouslyFormattedCitation":"Kofi Campbell, “A Clash of Medieval Cultures: Amerindians and COnquisators in the Thought of Wilson Harris,” in &lt;i&gt;Medievalisms in the Postcolonial World: The Idea of “the Middle Ages” Outside Europe&lt;/i&gt;, ed. Kathleen Davis and Nadia R. Altschul (Baltimore: Johns Hopkins University Press, 2009), 325–47; Lynn Ramey, “Monstrous Alterity in Early Modern Travel Accounts: Lessons from the Ambiguous Medieval Discourse on Humanities,” &lt;i&gt;L’Esprit Créateur&lt;/i&gt; 48, no. 1 (2008): 81–95; Ian J. McNiven and Lynette Russell, &lt;i&gt;Appropriated Pasts: Indigenous Peoples and the Colonial Culture of Archaeology&lt;/i&gt; (Oxford: AltaMira Press, 2005), 35–36."},"properties":{"noteIndex":0},"schema":"https://github.com/citation-style-language/schema/raw/master/csl-citation.json"}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Kofi Campbell, ‘A Clash of Medieval Cultures: Amerindians and Conquisators in the Thought of Wilson Harris’, in </w:t>
      </w:r>
      <w:r w:rsidRPr="00B950C8">
        <w:rPr>
          <w:rFonts w:ascii="Times New Roman" w:hAnsi="Times New Roman" w:cs="Times New Roman"/>
          <w:i/>
          <w:noProof/>
          <w:sz w:val="24"/>
          <w:szCs w:val="24"/>
        </w:rPr>
        <w:t>Medievalisms in the Postcolonial World: The Idea of ‘the Middle Ages’ Outside Europe</w:t>
      </w:r>
      <w:r w:rsidRPr="00B950C8">
        <w:rPr>
          <w:rFonts w:ascii="Times New Roman" w:hAnsi="Times New Roman" w:cs="Times New Roman"/>
          <w:noProof/>
          <w:sz w:val="24"/>
          <w:szCs w:val="24"/>
        </w:rPr>
        <w:t xml:space="preserve">, ed. by Kathleen Davis and Nadia R. Altschul (Baltimore: Johns Hopkins University Press, 2009), pp. 325–47; Lynn Ramey, ‘Monstrous Alterity in Early Modern Travel Accounts: Lessons from the Ambiguous Medieval Discourse on Humanities’, </w:t>
      </w:r>
      <w:r w:rsidRPr="00B950C8">
        <w:rPr>
          <w:rFonts w:ascii="Times New Roman" w:hAnsi="Times New Roman" w:cs="Times New Roman"/>
          <w:i/>
          <w:noProof/>
          <w:sz w:val="24"/>
          <w:szCs w:val="24"/>
        </w:rPr>
        <w:t>L’Esprit Créateur</w:t>
      </w:r>
      <w:r w:rsidRPr="00B950C8">
        <w:rPr>
          <w:rFonts w:ascii="Times New Roman" w:hAnsi="Times New Roman" w:cs="Times New Roman"/>
          <w:noProof/>
          <w:sz w:val="24"/>
          <w:szCs w:val="24"/>
        </w:rPr>
        <w:t xml:space="preserve">, 48.1 (2008), 81–95; Ian J. McNiven and Lynette Russell, </w:t>
      </w:r>
      <w:r w:rsidRPr="00B950C8">
        <w:rPr>
          <w:rFonts w:ascii="Times New Roman" w:hAnsi="Times New Roman" w:cs="Times New Roman"/>
          <w:i/>
          <w:noProof/>
          <w:sz w:val="24"/>
          <w:szCs w:val="24"/>
        </w:rPr>
        <w:t>Appropriated Pasts: Indigenous Peoples and the Colonial Culture of Archaeology</w:t>
      </w:r>
      <w:r w:rsidRPr="00B950C8">
        <w:rPr>
          <w:rFonts w:ascii="Times New Roman" w:hAnsi="Times New Roman" w:cs="Times New Roman"/>
          <w:noProof/>
          <w:sz w:val="24"/>
          <w:szCs w:val="24"/>
        </w:rPr>
        <w:t xml:space="preserve"> (Oxford: AltaMira Press, 2005), pp. 35–36.</w:t>
      </w:r>
      <w:r w:rsidRPr="00B950C8">
        <w:rPr>
          <w:rFonts w:ascii="Times New Roman" w:hAnsi="Times New Roman" w:cs="Times New Roman"/>
          <w:sz w:val="24"/>
          <w:szCs w:val="24"/>
        </w:rPr>
        <w:fldChar w:fldCharType="end"/>
      </w:r>
    </w:p>
  </w:endnote>
  <w:endnote w:id="12">
    <w:p w14:paraId="66021C3D" w14:textId="34B13F19"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{"citationItems":[{"id":"ITEM-1","itemData":{"ISBN":"0816620628","author":[{"dropping-particle":"","family":"Moreton-Robinson","given":"Aileen","non-dropping-particle":"","parse-names":false,"suffix":""}],"id":"ITEM-1","issued":{"date-parts":[["2015"]]},"publisher":"University of Minnesota Press","publisher-place":"Minneapolis","title":"The White Possessive: Property, Power, and Indigenous Sovereignty","type":"book"},"locator":"xii","uris":["http://www.mendeley.com/documents/?uuid=1247d431-d7fd-4a89-9ed5-d0b9d168c7b9"]}],"mendeley":{"formattedCitation":"Aileen Moreton-Robinson, &lt;i&gt;The White Possessive: Property, Power, and Indigenous Sovereignty&lt;/i&gt; (Minneapolis: University of Minnesota Press, 2015), xii.","plainTextFormattedCitation":"Aileen Moreton-Robinson, The White Possessive: Property, Power, and Indigenous Sovereignty (Minneapolis: University of Minnesota Press, 2015), xii.","previouslyFormattedCitation":"Aileen Moreton-Robinson, &lt;i&gt;The White Possessive: Property, Power, and Indigenous Sovereignty&lt;/i&gt; (Minneapolis: University of Minnesota Press, 2015), xii."},"properties":{"noteIndex":0},"schema":"https://github.com/citation-style-language/schema/raw/master/csl-citation.json"}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Aileen Moreton-Robinson, </w:t>
      </w:r>
      <w:r w:rsidRPr="00B950C8">
        <w:rPr>
          <w:rFonts w:ascii="Times New Roman" w:hAnsi="Times New Roman" w:cs="Times New Roman"/>
          <w:i/>
          <w:noProof/>
          <w:sz w:val="24"/>
          <w:szCs w:val="24"/>
        </w:rPr>
        <w:t>The White Possessive: Property, Power, and Indigenous Sovereignty</w:t>
      </w:r>
      <w:r w:rsidRPr="00B950C8">
        <w:rPr>
          <w:rFonts w:ascii="Times New Roman" w:hAnsi="Times New Roman" w:cs="Times New Roman"/>
          <w:noProof/>
          <w:sz w:val="24"/>
          <w:szCs w:val="24"/>
        </w:rPr>
        <w:t xml:space="preserve"> (Minneapolis: University of Minnesota Press, 2015), xii.</w:t>
      </w:r>
      <w:r w:rsidRPr="00B950C8">
        <w:rPr>
          <w:rFonts w:ascii="Times New Roman" w:hAnsi="Times New Roman" w:cs="Times New Roman"/>
          <w:sz w:val="24"/>
          <w:szCs w:val="24"/>
        </w:rPr>
        <w:fldChar w:fldCharType="end"/>
      </w:r>
    </w:p>
  </w:endnote>
  <w:endnote w:id="13">
    <w:p w14:paraId="31A21245" w14:textId="77777777"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{"citationItems":[{"id":"ITEM-1","itemData":{"id":"ITEM-1","issued":{"date-parts":[["1992"]]},"title":"Mabo v Queensland (No 2) HCA 23; (1992) 175 CLR 1 F.C. 92/014","type":"speech"},"uris":["http://www.mendeley.com/documents/?uuid=2a60cc2c-05df-4ccf-be23-92b4c5c26bd7"]}],"mendeley":{"formattedCitation":"“Mabo v Queensland (No 2) HCA 23; (1992) 175 CLR 1 F.C. 92/014,” (1992).","plainTextFormattedCitation":"“Mabo v Queensland (No 2) HCA 23; (1992) 175 CLR 1 F.C. 92/014,” (1992).","previouslyFormattedCitation":"“Mabo v Queensland (No 2) HCA 23; (1992) 175 CLR 1 F.C. 92/014,” (1992)."},"properties":{"noteIndex":0},"schema":"https://github.com/citation-style-language/schema/raw/master/csl-citation.json"}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“Mabo v Queensland (No 2) HCA 23; (1992) 175 CLR 1 F.C. 92/014,” (1992).</w:t>
      </w:r>
      <w:r w:rsidRPr="00B950C8">
        <w:rPr>
          <w:rFonts w:ascii="Times New Roman" w:hAnsi="Times New Roman" w:cs="Times New Roman"/>
          <w:sz w:val="24"/>
          <w:szCs w:val="24"/>
        </w:rPr>
        <w:fldChar w:fldCharType="end"/>
      </w:r>
    </w:p>
  </w:endnote>
  <w:endnote w:id="14">
    <w:p w14:paraId="25EDD41F" w14:textId="7F5FC9F6"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{"citationItems":[{"id":"ITEM-1","itemData":{"URL":"https://www.foundingdocs.gov.au/resources/transcripts/nsw1_doc_1768.pdf","accessed":{"date-parts":[["2020","2","10"]]},"container-title":"Museum of Australian Democracy","id":"ITEM-1","issued":{"date-parts":[["1768"]]},"title":"Secret Instructions to Lieutenant Cook 30 July 1768","type":"webpage"},"uris":["http://www.mendeley.com/documents/?uuid=f381a11f-960d-4912-ae3a-05b367cc416b"]}],"mendeley":{"formattedCitation":"“Secret Instructions to Lieutenant Cook 30 July 1768,” Museum of Australian Democracy, 1768, https://www.foundingdocs.gov.au/resources/transcripts/nsw1_doc_1768.pdf.","plainTextFormattedCitation":"“Secret Instructions to Lieutenant Cook 30 July 1768,” Museum of Australian Democracy, 1768, https://www.foundingdocs.gov.au/resources/transcripts/nsw1_doc_1768.pdf.","previouslyFormattedCitation":"“Secret Instructions to Lieutenant Cook 30 July 1768,” Museum of Australian Democracy, 1768, https://www.foundingdocs.gov.au/resources/transcripts/nsw1_doc_1768.pdf."},"properties":{"noteIndex":0},"schema":"https://github.com/citation-style-language/schema/raw/master/csl-citation.json"}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“Secret Instructions to Lieutenant Cook 30 July 1768,” Museum of Australian Democracy, 1768, https://www.foundingdocs.gov.au/resources/transcripts/nsw1_doc_1768.pdf.</w:t>
      </w:r>
      <w:r w:rsidRPr="00B950C8">
        <w:rPr>
          <w:rFonts w:ascii="Times New Roman" w:hAnsi="Times New Roman" w:cs="Times New Roman"/>
          <w:sz w:val="24"/>
          <w:szCs w:val="24"/>
        </w:rPr>
        <w:fldChar w:fldCharType="end"/>
      </w:r>
    </w:p>
  </w:endnote>
  <w:endnote w:id="15">
    <w:p w14:paraId="3A295BBD" w14:textId="0A7507D9"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URL":"https://transcripts.sl.nsw.gov.au/page/james-cook-journal-proceedings-his-majestys-bark-endeavour-voyage-round-world-lieutenant-690","accessed":{"date-parts":[["2020","2","10"]]},"author":[{"dropping-particle":"","family":"Cook","given":"James","non-dropping-particle":"","parse-names":false,"suffix":""}],"container-title":"State Library of New South Wales","id":"ITEM-1","issued":{"date-parts":[["1770"]]},"title":"A Journal of the proceedings of His Majesty's Bark Endeavour on a voyage round the world, by Lieutenant James Cook, Commander, commencing the 25th of May 1768 - 23 Oct. 1770","type":"webpage"},"uris":["http://www.mendeley.com/documents/?uuid=0e1a46e6-46e1-4c67-b329-597b1bc44b6b"]}],"mendeley":{"formattedCitation":"James Cook, “A Journal of the Proceedings of His Majesty’s Bark Endeavour on a Voyage Round the World, by Lieutenant James Cook, Commander, Commencing the 25th of May 1768 - 23 Oct. 1770,” State Library of New South Wales, 1770, https://transcripts.sl.nsw.gov.au/page/james-cook-journal-proceedings-his-majestys-bark-endeavour-voyage-round-world-lieutenant-690.","plainTextFormattedCitation":"James Cook, “A Journal of the Proceedings of His Majesty’s Bark Endeavour on a Voyage Round the World, by Lieutenant James Cook, Commander, Commencing the 25th of May 1768 - 23 Oct. 1770,” State Library of New South Wales, 1770, https://transcripts.sl.nsw.gov.au/page/james-cook-journal-proceedings-his-majestys-bark-endeavour-voyage-round-world-lieutenant-690.","previouslyFormattedCitation":"James Cook, “A Journal of the Proceedings of His Majesty’s Bark Endeavour on a Voyage Round the World, by Lieutenant James Cook, Commander, Commencing the 25th of May 1768 - 23 Oct. 1770,” State Library of New South Wales, 1770, https://transcripts.sl.nsw.gov.au/page/james-cook-journal-proceedings-his-majestys-bark-endeavour-voyage-round-world-lieutenant-690."},"properties":{"noteIndex":0},"schema":"https://github.com/citation-style-language/schema/raw/master/csl-citation.json"}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James Cook, “A Journal of the Proceedings of His Majesty’s Bark Endeavour on a Voyage Round the World, by Lieutenant James Cook, Commander, Commencing the 25th of May 1768 - 23 Oct. 1770,” State Library of New South Wales, 1770, https://transcripts.sl.nsw.gov.au/page/james-cook-journal-proceedings-his-majestys-bark-endeavour-voyage-round-world-lieutenant-690.</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For an exploration of the principle of cultivation as possession of land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{"citationItems":[{"id":"ITEM-1","itemData":{"author":[{"dropping-particle":"","family":"Webb","given":"Raelene","non-dropping-particle":"","parse-names":false,"suffix":""}],"container-title":"James Cook University Law Review","id":"ITEM-1","issued":{"date-parts":[["2017"]]},"page":"31-40","title":"The Birthplace of Native Title - From Mabo to Akiba","type":"article-journal","volume":"23"},"locator":"31-34","uris":["http://www.mendeley.com/documents/?uuid=04827d78-bedb-4430-aeb2-5af7c44e8e29"]}],"mendeley":{"formattedCitation":"Raelene Webb, “The Birthplace of Native Title - From Mabo to Akiba,” &lt;i&gt;James Cook University Law Review&lt;/i&gt; 23 (2017): 31–34.","plainTextFormattedCitation":"Raelene Webb, “The Birthplace of Native Title - From Mabo to Akiba,” James Cook University Law Review 23 (2017): 31–34.","previouslyFormattedCitation":"Raelene Webb, “The Birthplace of Native Title - From Mabo to Akiba,” &lt;i&gt;James Cook University Law Review&lt;/i&gt; 23 (2017): 31–34."},"properties":{"noteIndex":0},"schema":"https://github.com/citation-style-language/schema/raw/master/csl-citation.json"}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Raelene Webb, “The Birthplace of Native Title - From Mabo to Akiba,” </w:t>
      </w:r>
      <w:r w:rsidRPr="00B950C8">
        <w:rPr>
          <w:rFonts w:ascii="Times New Roman" w:hAnsi="Times New Roman" w:cs="Times New Roman"/>
          <w:i/>
          <w:noProof/>
          <w:sz w:val="24"/>
          <w:szCs w:val="24"/>
        </w:rPr>
        <w:t>James Cook University Law Review</w:t>
      </w:r>
      <w:r w:rsidRPr="00B950C8">
        <w:rPr>
          <w:rFonts w:ascii="Times New Roman" w:hAnsi="Times New Roman" w:cs="Times New Roman"/>
          <w:noProof/>
          <w:sz w:val="24"/>
          <w:szCs w:val="24"/>
        </w:rPr>
        <w:t xml:space="preserve"> 23 (2017): 31–34.</w:t>
      </w:r>
      <w:r w:rsidRPr="00B950C8">
        <w:rPr>
          <w:rFonts w:ascii="Times New Roman" w:hAnsi="Times New Roman" w:cs="Times New Roman"/>
          <w:sz w:val="24"/>
          <w:szCs w:val="24"/>
        </w:rPr>
        <w:fldChar w:fldCharType="end"/>
      </w:r>
    </w:p>
  </w:endnote>
  <w:endnote w:id="16">
    <w:p w14:paraId="7B7EFD73" w14:textId="2632B719"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{"citationItems":[{"id":"ITEM-1","itemData":{"author":[{"dropping-particle":"","family":"Cameron-Ash","given":"Margaret","non-dropping-particle":"","parse-names":false,"suffix":""}],"id":"ITEM-1","issued":{"date-parts":[["2018"]]},"publisher":"Rosenberg Press","publisher-place":"Sydney","title":"Lying for the Admiralty","type":"book"},"locator":"139-145","uris":["http://www.mendeley.com/documents/?uuid=c92b40d3-7145-4356-97bf-d92762f9db4c"]}],"mendeley":{"formattedCitation":"Margaret Cameron-Ash, &lt;i&gt;Lying for the Admiralty&lt;/i&gt; (Sydney: Rosenberg Press, 2018), 139–45.","plainTextFormattedCitation":"Margaret Cameron-Ash, Lying for the Admiralty (Sydney: Rosenberg Press, 2018), 139–45.","previouslyFormattedCitation":"Margaret Cameron-Ash, &lt;i&gt;Lying for the Admiralty&lt;/i&gt; (Sydney: Rosenberg Press, 2018), 139–45."},"properties":{"noteIndex":0},"schema":"https://github.com/citation-style-language/schema/raw/master/csl-citation.json"}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Margaret Cameron-Ash, </w:t>
      </w:r>
      <w:r w:rsidRPr="00B950C8">
        <w:rPr>
          <w:rFonts w:ascii="Times New Roman" w:hAnsi="Times New Roman" w:cs="Times New Roman"/>
          <w:i/>
          <w:noProof/>
          <w:sz w:val="24"/>
          <w:szCs w:val="24"/>
        </w:rPr>
        <w:t>Lying for the Admiralty</w:t>
      </w:r>
      <w:r w:rsidRPr="00B950C8">
        <w:rPr>
          <w:rFonts w:ascii="Times New Roman" w:hAnsi="Times New Roman" w:cs="Times New Roman"/>
          <w:noProof/>
          <w:sz w:val="24"/>
          <w:szCs w:val="24"/>
        </w:rPr>
        <w:t xml:space="preserve"> (Sydney: Rosenberg Press, 2018), 139–45.</w:t>
      </w:r>
      <w:r w:rsidRPr="00B950C8">
        <w:rPr>
          <w:rFonts w:ascii="Times New Roman" w:hAnsi="Times New Roman" w:cs="Times New Roman"/>
          <w:sz w:val="24"/>
          <w:szCs w:val="24"/>
        </w:rPr>
        <w:fldChar w:fldCharType="end"/>
      </w:r>
    </w:p>
  </w:endnote>
  <w:endnote w:id="17">
    <w:p w14:paraId="296F0711" w14:textId="7F6E489A"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For examples,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{"citationItems":[{"id":"ITEM-1","itemData":{"author":[{"dropping-particle":"","family":"Webb","given":"Raelene","non-dropping-particle":"","parse-names":false,"suffix":""}],"container-title":"James Cook University Law Review","id":"ITEM-1","issued":{"date-parts":[["2017"]]},"page":"31-40","title":"The Birthplace of Native Title - From Mabo to Akiba","type":"article-journal","volume":"23"},"locator":"34-35","uris":["http://www.mendeley.com/documents/?uuid=04827d78-bedb-4430-aeb2-5af7c44e8e29"]}],"mendeley":{"formattedCitation":"Webb, “The Birthplace of Native Title - From Mabo to Akiba,” 34–35.","plainTextFormattedCitation":"Webb, “The Birthplace of Native Title - From Mabo to Akiba,” 34–35.","previouslyFormattedCitation":"Webb, “The Birthplace of Native Title - From Mabo to Akiba,” 34–35."},"properties":{"noteIndex":0},"schema":"https://github.com/citation-style-language/schema/raw/master/csl-citation.json"}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Webb, “The Birthplace of Native Title - From Mabo to Akiba,” 34–35.</w:t>
      </w:r>
      <w:r w:rsidRPr="00B950C8">
        <w:rPr>
          <w:rFonts w:ascii="Times New Roman" w:hAnsi="Times New Roman" w:cs="Times New Roman"/>
          <w:sz w:val="24"/>
          <w:szCs w:val="24"/>
        </w:rPr>
        <w:fldChar w:fldCharType="end"/>
      </w:r>
    </w:p>
  </w:endnote>
  <w:endnote w:id="18">
    <w:p w14:paraId="2754F42E" w14:textId="5424E3D1"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{"citationItems":[{"id":"ITEM-1","itemData":{"URL":"http://www.austlii.edu.au/au/orgs/car/docrec/policy/brief/terran.htm","author":[{"dropping-particle":"","family":"Council for Aboriginal Reconciliation","given":"","non-dropping-particle":"","parse-names":false,"suffix":""}],"container-title":"Documents for Reconciliation","id":"ITEM-1","issued":{"date-parts":[["0"]]},"title":"Briefing Paper: terra nullius and sovereignty","type":"webpage"},"uris":["http://www.mendeley.com/documents/?uuid=226adf1e-6ffc-45a4-8f4b-46ab498f52f9"]}],"mendeley":{"formattedCitation":"Council for Aboriginal Reconciliation, “Briefing Paper: Terra Nullius and Sovereignty,” Documents for Reconciliation, n.d., http://www.austlii.edu.au/au/orgs/car/docrec/policy/brief/terran.htm.","plainTextFormattedCitation":"Council for Aboriginal Reconciliation, “Briefing Paper: Terra Nullius and Sovereignty,” Documents for Reconciliation, n.d., http://www.austlii.edu.au/au/orgs/car/docrec/policy/brief/terran.htm.","previouslyFormattedCitation":"Council for Aboriginal Reconciliation, “Briefing Paper: Terra Nullius and Sovereignty,” Documents for Reconciliation, n.d., http://www.austlii.edu.au/au/orgs/car/docrec/policy/brief/terran.htm."},"properties":{"noteIndex":0},"schema":"https://github.com/citation-style-language/schema/raw/master/csl-citation.json"}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Council for Aboriginal Reconciliation, “Briefing Paper: Terra Nullius and Sovereignty,” Documents for Reconciliation, n.d., http://www.austlii.edu.au/au/orgs/car/docrec/policy/brief/terran.htm.</w:t>
      </w:r>
      <w:r w:rsidRPr="00B950C8">
        <w:rPr>
          <w:rFonts w:ascii="Times New Roman" w:hAnsi="Times New Roman" w:cs="Times New Roman"/>
          <w:sz w:val="24"/>
          <w:szCs w:val="24"/>
        </w:rPr>
        <w:fldChar w:fldCharType="end"/>
      </w:r>
    </w:p>
  </w:endnote>
  <w:endnote w:id="19">
    <w:p w14:paraId="217D5CB0" w14:textId="02CFE6B8"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{"citationItems":[{"id":"ITEM-1","itemData":{"ISBN":"0816620628","author":[{"dropping-particle":"","family":"Moreton-Robinson","given":"Aileen","non-dropping-particle":"","parse-names":false,"suffix":""}],"id":"ITEM-1","issued":{"date-parts":[["2015"]]},"publisher":"University of Minnesota Press","publisher-place":"Minneapolis","title":"The White Possessive: Property, Power, and Indigenous Sovereignty","type":"book"},"locator":"68","uris":["http://www.mendeley.com/documents/?uuid=1247d431-d7fd-4a89-9ed5-d0b9d168c7b9"]}],"mendeley":{"formattedCitation":"Moreton-Robinson, &lt;i&gt;The White Possessive: Property, Power, and Indigenous Sovereignty&lt;/i&gt;, 68.","plainTextFormattedCitation":"Moreton-Robinson, The White Possessive: Property, Power, and Indigenous Sovereignty, 68.","previouslyFormattedCitation":"Moreton-Robinson, &lt;i&gt;The White Possessive: Property, Power, and Indigenous Sovereignty&lt;/i&gt;, 68."},"properties":{"noteIndex":0},"schema":"https://github.com/citation-style-language/schema/raw/master/csl-citation.json"}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Moreton-Robinson, </w:t>
      </w:r>
      <w:r w:rsidRPr="00B950C8">
        <w:rPr>
          <w:rFonts w:ascii="Times New Roman" w:hAnsi="Times New Roman" w:cs="Times New Roman"/>
          <w:i/>
          <w:noProof/>
          <w:sz w:val="24"/>
          <w:szCs w:val="24"/>
        </w:rPr>
        <w:t>The White Possessive: Property, Power, and Indigenous Sovereignty</w:t>
      </w:r>
      <w:r w:rsidRPr="00B950C8">
        <w:rPr>
          <w:rFonts w:ascii="Times New Roman" w:hAnsi="Times New Roman" w:cs="Times New Roman"/>
          <w:noProof/>
          <w:sz w:val="24"/>
          <w:szCs w:val="24"/>
        </w:rPr>
        <w:t>, 68.</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On post-Mabo native title decisions by the High Court and legal and politics discourses upholding settler-colonial power see, for example,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{"citationItems":[{"id":"ITEM-1","itemData":{"DOI":"10.1080/10383441.2019.1682959","ISSN":"18394205","abstract":"The legitimacy of Australia’s legal and political systems lies in the understanding that the British and then Australian governments validly secured sovereignty, and, in doing so, legally annexed the land occupied by Indigenous peoples, and the people themselves, under the laws of the Crown. This paper critically examines the legal foundations of Australian sovereignty by comparing the earliest judicial statements that outline the basis and extent of Australian sovereignty with the positions taken by various key High Court judgements in the twentieth century, as well as contemporary statements by former Prime Minister Turnbull in response to the Uluru Statement from the Heart. This analysis reveals how the legal and political discourses asserting Australian sovereignty continually re-write history to develop dramatically differing legal narratives to suit changing social and political climates. When examined alongside the ceaseless assertions of sovereignty by Indigenous peoples preceding colonisation till the present it becomes apparent how judges and politicians have participated in promulgating legal fictions to provide legitimacy to an unjustified and illegal denial of Indigenous sovereignty from 1770 until the present.","author":[{"dropping-particle":"","family":"Wardle","given":"Ben","non-dropping-particle":"","parse-names":false,"suffix":""},{"dropping-particle":"","family":"McKenna","given":"Beth","non-dropping-particle":"","parse-names":false,"suffix":""}],"container-title":"Griffith Law Review","id":"ITEM-1","issued":{"date-parts":[["2019"]]},"publisher":"Taylor &amp; Francis","title":"Usurping Indigenous sovereignty through everchanging legal fictions","type":"article-journal"},"uris":["http://www.mendeley.com/documents/?uuid=69376161-c45f-40aa-882c-b4c88d8e14ee"]},{"id":"ITEM-2","itemData":{"author":[{"dropping-particle":"","family":"Webb","given":"Raelene","non-dropping-particle":"","parse-names":false,"suffix":""}],"container-title":"James Cook University Law Review","id":"ITEM-2","issued":{"date-parts":[["2017"]]},"page":"31-40","title":"The Birthplace of Native Title - From Mabo to Akiba","type":"article-journal","volume":"23"},"uris":["http://www.mendeley.com/documents/?uuid=04827d78-bedb-4430-aeb2-5af7c44e8e29"]}],"mendeley":{"formattedCitation":"Ben Wardle and Beth McKenna, “Usurping Indigenous Sovereignty through Everchanging Legal Fictions,” &lt;i&gt;Griffith Law Review&lt;/i&gt;, 2019, https://doi.org/10.1080/10383441.2019.1682959; Webb, “The Birthplace of Native Title - From Mabo to Akiba.”","plainTextFormattedCitation":"Ben Wardle and Beth McKenna, “Usurping Indigenous Sovereignty through Everchanging Legal Fictions,” Griffith Law Review, 2019, https://doi.org/10.1080/10383441.2019.1682959; Webb, “The Birthplace of Native Title - From Mabo to Akiba.”","previouslyFormattedCitation":"Ben Wardle and Beth McKenna, “Usurping Indigenous Sovereignty through Everchanging Legal Fictions,” &lt;i&gt;Griffith Law Review&lt;/i&gt;, 2019, https://doi.org/10.1080/10383441.2019.1682959; Webb, “The Birthplace of Native Title - From Mabo to Akiba.”"},"properties":{"noteIndex":0},"schema":"https://github.com/citation-style-language/schema/raw/master/csl-citation.json"}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Ben Wardle and Beth McKenna, “Usurping Indigenous Sovereignty through Everchanging Legal Fictions,” </w:t>
      </w:r>
      <w:r w:rsidRPr="00B950C8">
        <w:rPr>
          <w:rFonts w:ascii="Times New Roman" w:hAnsi="Times New Roman" w:cs="Times New Roman"/>
          <w:i/>
          <w:noProof/>
          <w:sz w:val="24"/>
          <w:szCs w:val="24"/>
        </w:rPr>
        <w:t>Griffith Law Review</w:t>
      </w:r>
      <w:r w:rsidRPr="00B950C8">
        <w:rPr>
          <w:rFonts w:ascii="Times New Roman" w:hAnsi="Times New Roman" w:cs="Times New Roman"/>
          <w:noProof/>
          <w:sz w:val="24"/>
          <w:szCs w:val="24"/>
        </w:rPr>
        <w:t>, 2019, https://doi.org/10.1080/10383441.2019.1682959; Webb, “The Birthplace of Native Title - From Mabo to Akiba.”</w:t>
      </w:r>
      <w:r w:rsidRPr="00B950C8">
        <w:rPr>
          <w:rFonts w:ascii="Times New Roman" w:hAnsi="Times New Roman" w:cs="Times New Roman"/>
          <w:sz w:val="24"/>
          <w:szCs w:val="24"/>
        </w:rPr>
        <w:fldChar w:fldCharType="end"/>
      </w:r>
    </w:p>
  </w:endnote>
  <w:endnote w:id="20">
    <w:p w14:paraId="6159821C" w14:textId="77777777"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URL":"https://www.theguardian.com/business/2019/aug/31/queensland-extinguishes-native-title-over-indigenous-land-to-make-way-for-adani-coalmine","accessed":{"date-parts":[["2019","8","31"]]},"author":[{"dropping-particle":"","family":"Doherty","given":"Ben","non-dropping-particle":"","parse-names":false,"suffix":""}],"container-title":"The Guardian","id":"ITEM-1","issued":{"date-parts":[["2019"]]},"title":"Queensland extinguishes native title over Indigenous land to make way for Adani coalmine","type":"webpage"},"uris":["http://www.mendeley.com/documents/?uuid=27d9151c-32a0-3ee9-a7f3-5a297531ac18"]}],"mendeley":{"formattedCitation":"Ben Doherty, “Queensland Extinguishes Native Title over Indigenous Land to Make Way for Adani Coalmine,” The Guardian, 2019, https://www.theguardian.com/business/2019/aug/31/queensland-extinguishes-native-title-over-indigenous-land-to-make-way-for-adani-coalmine.","plainTextFormattedCitation":"Ben Doherty, “Queensland Extinguishes Native Title over Indigenous Land to Make Way for Adani Coalmine,” The Guardian, 2019, https://www.theguardian.com/business/2019/aug/31/queensland-extinguishes-native-title-over-indigenous-land-to-make-way-for-adani-coalmine.","previouslyFormattedCitation":"Ben Doherty, “Queensland Extinguishes Native Title over Indigenous Land to Make Way for Adani Coalmine,” The Guardian, 2019, https://www.theguardian.com/business/2019/aug/31/queensland-extinguishes-native-title-over-indigenous-land-to-make-way-for-adani-coalmine."},"properties":{"noteIndex":0},"schema":"https://github.com/citation-style-language/schema/raw/master/csl-citation.json"}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Ben Doherty, “Queensland Extinguishes Native Title over Indigenous Land to Make Way for Adani Coalmine,” </w:t>
      </w:r>
      <w:r w:rsidRPr="00B950C8">
        <w:rPr>
          <w:rFonts w:ascii="Times New Roman" w:hAnsi="Times New Roman" w:cs="Times New Roman"/>
          <w:i/>
          <w:noProof/>
          <w:sz w:val="24"/>
          <w:szCs w:val="24"/>
        </w:rPr>
        <w:t>The Guardian</w:t>
      </w:r>
      <w:r w:rsidRPr="00B950C8">
        <w:rPr>
          <w:rFonts w:ascii="Times New Roman" w:hAnsi="Times New Roman" w:cs="Times New Roman"/>
          <w:noProof/>
          <w:sz w:val="24"/>
          <w:szCs w:val="24"/>
        </w:rPr>
        <w:t>, 2019, https://www.theguardian.com/business/2019/aug/31/queensland-extinguishes-native-title-over-indigenous-land-to-make-way-for-adani-coalmine.</w:t>
      </w:r>
      <w:r w:rsidRPr="00B950C8">
        <w:rPr>
          <w:rFonts w:ascii="Times New Roman" w:hAnsi="Times New Roman" w:cs="Times New Roman"/>
          <w:sz w:val="24"/>
          <w:szCs w:val="24"/>
        </w:rPr>
        <w:fldChar w:fldCharType="end"/>
      </w:r>
    </w:p>
  </w:endnote>
  <w:endnote w:id="21">
    <w:p w14:paraId="284FD615" w14:textId="64634646"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{"citationItems":[{"id":"ITEM-1","itemData":{"author":[{"dropping-particle":"","family":"Kerr","given":"Ruth S","non-dropping-particle":"","parse-names":false,"suffix":""}],"id":"ITEM-1","issue":"Background Information Brief 23","issued":{"date-parts":[["1991"]]},"publisher":"Queensland Parliamentary Library","publisher-place":"Brisbane","title":"Aboriginal Land Rights: A Comparative Assessment","type":"report"},"locator":"4","uris":["http://www.mendeley.com/documents/?uuid=e0dfc604-4af6-49e5-a39b-3bcdea3d4e76"]}],"mendeley":{"formattedCitation":"Ruth S Kerr, “Aboriginal Land Rights: A Comparative Assessment” (Brisbane: Queensland Parliamentary Library, 1991), 4.","plainTextFormattedCitation":"Ruth S Kerr, “Aboriginal Land Rights: A Comparative Assessment” (Brisbane: Queensland Parliamentary Library, 1991), 4.","previouslyFormattedCitation":"Ruth S Kerr, “Aboriginal Land Rights: A Comparative Assessment” (Brisbane: Queensland Parliamentary Library, 1991), 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bCs/>
          <w:noProof/>
          <w:sz w:val="24"/>
          <w:szCs w:val="24"/>
          <w:lang w:val="en-US"/>
        </w:rPr>
        <w:t>Ruth S Kerr, “Aboriginal Land Rights: A Comparative Assessment” (Brisbane: Queensland Parliamentary Library, 1991), 4.</w:t>
      </w:r>
      <w:r w:rsidRPr="00B950C8">
        <w:rPr>
          <w:rFonts w:ascii="Times New Roman" w:hAnsi="Times New Roman" w:cs="Times New Roman"/>
          <w:sz w:val="24"/>
          <w:szCs w:val="24"/>
        </w:rPr>
        <w:fldChar w:fldCharType="end"/>
      </w:r>
    </w:p>
  </w:endnote>
  <w:endnote w:id="22">
    <w:p w14:paraId="4A6141A4" w14:textId="10C217FA"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On white racial medievalism and temporality see Helen Young on Anglo-Saxonism, medievalism and temporality: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{"citationItems":[{"id":"ITEM-1","itemData":{"author":[{"dropping-particle":"","family":"Young","given":"Helen","non-dropping-particle":"","parse-names":false,"suffix":""}],"container-title":"Studies in Medievalism","id":"ITEM-1","issued":{"date-parts":[["2015"]]},"page":"39-49","title":"Whiteness and Time: the Once, Present, and Future Race","type":"article-journal","volume":"24"},"suppress-author":1,"uris":["http://www.mendeley.com/documents/?uuid=a06155b6-6a3b-41c3-b70d-a3f19f20f371"]}],"mendeley":{"formattedCitation":"“Whiteness and Time: The Once, Present, and Future Race,” &lt;i&gt;Studies in Medievalism&lt;/i&gt; 24 (2015): 39–49.","plainTextFormattedCitation":"“Whiteness and Time: The Once, Present, and Future Race,” Studies in Medievalism 24 (2015): 39–49.","previouslyFormattedCitation":"“Whiteness and Time: The Once, Present, and Future Race,” &lt;i&gt;Studies in Medievalism&lt;/i&gt; 24 (2015): 39–49."},"properties":{"noteIndex":0},"schema":"https://github.com/citation-style-language/schema/raw/master/csl-citation.json"}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“Whiteness and Time: The Once, Present, and Future Race,” </w:t>
      </w:r>
      <w:r w:rsidRPr="00B950C8">
        <w:rPr>
          <w:rFonts w:ascii="Times New Roman" w:hAnsi="Times New Roman" w:cs="Times New Roman"/>
          <w:i/>
          <w:noProof/>
          <w:sz w:val="24"/>
          <w:szCs w:val="24"/>
        </w:rPr>
        <w:t>Studies in Medievalism</w:t>
      </w:r>
      <w:r w:rsidRPr="00B950C8">
        <w:rPr>
          <w:rFonts w:ascii="Times New Roman" w:hAnsi="Times New Roman" w:cs="Times New Roman"/>
          <w:noProof/>
          <w:sz w:val="24"/>
          <w:szCs w:val="24"/>
        </w:rPr>
        <w:t xml:space="preserve"> 24 (2015): 39–49.</w:t>
      </w:r>
      <w:r w:rsidRPr="00B950C8">
        <w:rPr>
          <w:rFonts w:ascii="Times New Roman" w:hAnsi="Times New Roman" w:cs="Times New Roman"/>
          <w:sz w:val="24"/>
          <w:szCs w:val="24"/>
        </w:rPr>
        <w:fldChar w:fldCharType="end"/>
      </w:r>
    </w:p>
  </w:endnote>
  <w:endnote w:id="23">
    <w:p w14:paraId="10201356" w14:textId="43A5141E"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{"citationItems":[{"id":"ITEM-1","itemData":{"DOI":"10.1111/taja.12122","ISSN":"17576547","abstract":"Time is one mechanism through which Indigenous‐modern dichotomies are created and maintained and an enduring trope of difference in the settler‐colonial imaginary. This article explores the strange temporality of indigeneity within ‘progressive’ discourses in Australia. Taking Johannes Fabian's concept of ‘allochronism’ as a point of departure, and drawing on ethnography of non‐Indigenous people working in Indigenous health in the Northern Territory, I show how there is a kind of cultural Lamarckianism in operation. ‘Western’ individuals are seen to inherit the cumulative cultural knowledge, acquired over centuries, of germ theory and responsible alcohol consumption. By contrast, Indigenous people are seen to struggle with banking and infectious diseases because they have not had sufficient time to develop the appropriate cultural knowledge. Through the anthropomorphising of culture and the culturalisation of individuals, the Indigenous person/culture becomes the 40,000‐year history of human occupation of the continent. I point to the limits of this settler‐colonial imaginary and potential alternatives.","author":[{"dropping-particle":"","family":"Kowal","given":"Emma","non-dropping-particle":"","parse-names":false,"suffix":""}],"container-title":"Australian Journal of Anthropology","id":"ITEM-1","issue":"1","issued":{"date-parts":[["2015"]]},"page":"94-111","title":"Time, indigeneity and white anti-racism in Australia","type":"article-journal","volume":"26"},"locator":"95","uris":["http://www.mendeley.com/documents/?uuid=f21253ac-fb00-4168-89e1-f02daeaef2ac"]}],"mendeley":{"formattedCitation":"Kowal, “Time, Indigeneity and White Anti-Racism in Australia,” 95.","plainTextFormattedCitation":"Kowal, “Time, Indigeneity and White Anti-Racism in Australia,” 95.","previouslyFormattedCitation":"Kowal, “Time, Indigeneity and White Anti-Racism in Australia,” 95."},"properties":{"noteIndex":0},"schema":"https://github.com/citation-style-language/schema/raw/master/csl-citation.json"}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Kowal, “Time, Indigeneity and White Anti-Racism in Australia,” 95.</w:t>
      </w:r>
      <w:r w:rsidRPr="00B950C8">
        <w:rPr>
          <w:rFonts w:ascii="Times New Roman" w:hAnsi="Times New Roman" w:cs="Times New Roman"/>
          <w:sz w:val="24"/>
          <w:szCs w:val="24"/>
        </w:rPr>
        <w:fldChar w:fldCharType="end"/>
      </w:r>
    </w:p>
  </w:endnote>
  <w:endnote w:id="24">
    <w:p w14:paraId="088ED0E9" w14:textId="6C985106"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{"citationItems":[{"id":"ITEM-1","itemData":{"ISBN":"0816620628","author":[{"dropping-particle":"","family":"Moreton-Robinson","given":"Aileen","non-dropping-particle":"","parse-names":false,"suffix":""}],"id":"ITEM-1","issued":{"date-parts":[["2015"]]},"publisher":"University of Minnesota Press","publisher-place":"Minneapolis","title":"The White Possessive: Property, Power, and Indigenous Sovereignty","type":"book"},"locator":"67","uris":["http://www.mendeley.com/documents/?uuid=1247d431-d7fd-4a89-9ed5-d0b9d168c7b9"]}],"mendeley":{"formattedCitation":"Moreton-Robinson, &lt;i&gt;The White Possessive: Property, Power, and Indigenous Sovereignty&lt;/i&gt;, 67.","plainTextFormattedCitation":"Moreton-Robinson, The White Possessive: Property, Power, and Indigenous Sovereignty, 67.","previouslyFormattedCitation":"Moreton-Robinson, &lt;i&gt;The White Possessive: Property, Power, and Indigenous Sovereignty&lt;/i&gt;, 67."},"properties":{"noteIndex":0},"schema":"https://github.com/citation-style-language/schema/raw/master/csl-citation.json"}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Moreton-Robinson, </w:t>
      </w:r>
      <w:r w:rsidRPr="00B950C8">
        <w:rPr>
          <w:rFonts w:ascii="Times New Roman" w:hAnsi="Times New Roman" w:cs="Times New Roman"/>
          <w:i/>
          <w:noProof/>
          <w:sz w:val="24"/>
          <w:szCs w:val="24"/>
        </w:rPr>
        <w:t>The White Possessive: Property, Power, and Indigenous Sovereignty</w:t>
      </w:r>
      <w:r w:rsidRPr="00B950C8">
        <w:rPr>
          <w:rFonts w:ascii="Times New Roman" w:hAnsi="Times New Roman" w:cs="Times New Roman"/>
          <w:noProof/>
          <w:sz w:val="24"/>
          <w:szCs w:val="24"/>
        </w:rPr>
        <w:t>, 67.</w:t>
      </w:r>
      <w:r w:rsidRPr="00B950C8">
        <w:rPr>
          <w:rFonts w:ascii="Times New Roman" w:hAnsi="Times New Roman" w:cs="Times New Roman"/>
          <w:sz w:val="24"/>
          <w:szCs w:val="24"/>
        </w:rPr>
        <w:fldChar w:fldCharType="end"/>
      </w:r>
    </w:p>
  </w:endnote>
  <w:endnote w:id="25">
    <w:p w14:paraId="4E1C7872" w14:textId="61F2EF92"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{"citationItems":[{"id":"ITEM-1","itemData":{"author":[{"dropping-particle":"","family":"Henry of Huntingdon","given":"","non-dropping-particle":"","parse-names":false,"suffix":""}],"editor":[{"dropping-particle":"","family":"Greenway","given":"Diana","non-dropping-particle":"","parse-names":false,"suffix":""}],"id":"ITEM-1","issued":{"date-parts":[["1996"]]},"publisher":"Clarendon Press","publisher-place":"Oxford","title":"Historia Anglorum","type":"book"},"locator":"273","uris":["http://www.mendeley.com/documents/?uuid=28e57f8a-c57a-4959-94dc-7fc1341d8f03"]}],"mendeley":{"formattedCitation":"Henry of Huntingdon, &lt;i&gt;Historia Anglorum&lt;/i&gt;, ed. Diana Greenway (Oxford: Clarendon Press, 1996), 273.","plainTextFormattedCitation":"Henry of Huntingdon, Historia Anglorum, ed. Diana Greenway (Oxford: Clarendon Press, 1996), 273.","previouslyFormattedCitation":"Henry of Huntingdon, &lt;i&gt;Historia Anglorum&lt;/i&gt;, ed. Diana Greenway (Oxford: Clarendon Press, 1996), 273."},"properties":{"noteIndex":0},"schema":"https://github.com/citation-style-language/schema/raw/master/csl-citation.json"}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Henry of Huntingdon, </w:t>
      </w:r>
      <w:r w:rsidRPr="00B950C8">
        <w:rPr>
          <w:rFonts w:ascii="Times New Roman" w:hAnsi="Times New Roman" w:cs="Times New Roman"/>
          <w:i/>
          <w:noProof/>
          <w:sz w:val="24"/>
          <w:szCs w:val="24"/>
        </w:rPr>
        <w:t>Historia Anglorum</w:t>
      </w:r>
      <w:r w:rsidRPr="00B950C8">
        <w:rPr>
          <w:rFonts w:ascii="Times New Roman" w:hAnsi="Times New Roman" w:cs="Times New Roman"/>
          <w:noProof/>
          <w:sz w:val="24"/>
          <w:szCs w:val="24"/>
        </w:rPr>
        <w:t>, ed. Diana Greenway (Oxford: Clarendon Press, 1996), 273.</w:t>
      </w:r>
      <w:r w:rsidRPr="00B950C8">
        <w:rPr>
          <w:rFonts w:ascii="Times New Roman" w:hAnsi="Times New Roman" w:cs="Times New Roman"/>
          <w:sz w:val="24"/>
          <w:szCs w:val="24"/>
        </w:rPr>
        <w:fldChar w:fldCharType="end"/>
      </w:r>
    </w:p>
  </w:endnote>
  <w:endnote w:id="26">
    <w:p w14:paraId="05362007" w14:textId="53253D51"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{"citationItems":[{"id":"ITEM-1","itemData":{"author":[{"dropping-particle":"","family":"Faletra","given":"Michael A.","non-dropping-particle":"","parse-names":false,"suffix":""}],"id":"ITEM-1","issued":{"date-parts":[["2014"]]},"publisher":"Palgrave Macmillan","publisher-place":"New York","title":"Wales and the Medieval Colonial Imagination: The Matters of Britain in the Twelfth Century","type":"book"},"prefix":"It is beyond the scope of this article to give and in-depth account of the complex colonial relationship of the British and English in medieval historiography which, in any case, does not take any single position. For representative discussion see debates over the post/colonial position of Geoffrey of Monmouth’s Historia Regum Brittaniae in, for example, ","uris":["http://www.mendeley.com/documents/?uuid=cfc2fdd7-0d80-480e-bae6-8c40c9444169"]},{"id":"ITEM-2","itemData":{"DOI":"10.1353/art.1988.0009","author":[{"dropping-particle":"","family":"Warren","given":"Michelle R.","non-dropping-particle":"","parse-names":false,"suffix":""}],"container-title":"Arthuriana","id":"ITEM-2","issue":"4","issued":{"date-parts":[["1998"]]},"page":"115-134","title":"Making Contact: Postcolonial Perspectives through Geoffrey of Monmouth's Historia regum Britannie","type":"article-journal","volume":"8"},"uris":["http://www.mendeley.com/documents/?uuid=699c1d8e-fc3b-41af-99a4-68b5af48af6f"]}],"mendeley":{"formattedCitation":"It is beyond the scope of this article to give and in-depth account of the complex colonial relationship of the British and English in medieval historiography which, in any case, does not take any single position. For representative discussion see debates over the post/colonial position of Geoffrey of Monmouth’s Historia Regum Brittaniae in, for example, Michael A. Faletra, &lt;i&gt;Wales and the Medieval Colonial Imagination: The Matters of Britain in the Twelfth Century&lt;/i&gt; (New York: Palgrave Macmillan, 2014); Michelle R. Warren, “Making Contact: Postcolonial Perspectives through Geoffrey of Monmouth’s Historia Regum Britannie,” &lt;i&gt;Arthuriana&lt;/i&gt; 8, no. 4 (1998): 115–34, https://doi.org/10.1353/art.1988.0009.","plainTextFormattedCitation":"It is beyond the scope of this article to give and in-depth account of the complex colonial relationship of the British and English in medieval historiography which, in any case, does not take any single position. For representative discussion see debates over the post/colonial position of Geoffrey of Monmouth’s Historia Regum Brittaniae in, for example, Michael A. Faletra, Wales and the Medieval Colonial Imagination: The Matters of Britain in the Twelfth Century (New York: Palgrave Macmillan, 2014); Michelle R. Warren, “Making Contact: Postcolonial Perspectives through Geoffrey of Monmouth’s Historia Regum Britannie,” Arthuriana 8, no. 4 (1998): 115–34, https://doi.org/10.1353/art.1988.0009.","previouslyFormattedCitation":"It is beyond the scope of this article to give and in-depth account of the complex colonial relationship of the British and English in medieval historiography which, in any case, does not take any single position. For representative discussion see debates over the post/colonial position of Geoffrey of Monmouth’s Historia Regum Brittaniae in, for example, Michael A. Faletra, &lt;i&gt;Wales and the Medieval Colonial Imagination: The Matters of Britain in the Twelfth Century&lt;/i&gt; (New York: Palgrave Macmillan, 2014); Michelle R. Warren, “Making Contact: Postcolonial Perspectives through Geoffrey of Monmouth’s Historia Regum Britannie,” &lt;i&gt;Arthuriana&lt;/i&gt; 8, no. 4 (1998): 115–34, https://doi.org/10.1353/art.1988.0009."},"properties":{"noteIndex":0},"schema":"https://github.com/citation-style-language/schema/raw/master/csl-citation.json"}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It is beyond the scope of this article to give and in-depth account of the complex colonial relationship of the British and English in medieval historiography which, in any case, does not take any single position. For representative discussion see debates over the post/colonial position of Geoffrey of Monmouth’s Historia Regum Brittaniae in, for example, Michael A. Faletra, </w:t>
      </w:r>
      <w:r w:rsidRPr="00B950C8">
        <w:rPr>
          <w:rFonts w:ascii="Times New Roman" w:hAnsi="Times New Roman" w:cs="Times New Roman"/>
          <w:i/>
          <w:noProof/>
          <w:sz w:val="24"/>
          <w:szCs w:val="24"/>
        </w:rPr>
        <w:t>Wales and the Medieval Colonial Imagination: The Matters of Britain in the Twelfth Century</w:t>
      </w:r>
      <w:r w:rsidRPr="00B950C8">
        <w:rPr>
          <w:rFonts w:ascii="Times New Roman" w:hAnsi="Times New Roman" w:cs="Times New Roman"/>
          <w:noProof/>
          <w:sz w:val="24"/>
          <w:szCs w:val="24"/>
        </w:rPr>
        <w:t xml:space="preserve"> (New York: Palgrave Macmillan, 2014); Michelle R. Warren, “Making Contact: Postcolonial Perspectives through Geoffrey of Monmouth’s Historia Regum Britannie,” </w:t>
      </w:r>
      <w:r w:rsidRPr="00B950C8">
        <w:rPr>
          <w:rFonts w:ascii="Times New Roman" w:hAnsi="Times New Roman" w:cs="Times New Roman"/>
          <w:i/>
          <w:noProof/>
          <w:sz w:val="24"/>
          <w:szCs w:val="24"/>
        </w:rPr>
        <w:t>Arthuriana</w:t>
      </w:r>
      <w:r w:rsidRPr="00B950C8">
        <w:rPr>
          <w:rFonts w:ascii="Times New Roman" w:hAnsi="Times New Roman" w:cs="Times New Roman"/>
          <w:noProof/>
          <w:sz w:val="24"/>
          <w:szCs w:val="24"/>
        </w:rPr>
        <w:t xml:space="preserve"> 8, no. 4 (1998): 115–34, https://doi.org/10.1353/art.1988.0009.</w:t>
      </w:r>
      <w:r w:rsidRPr="00B950C8">
        <w:rPr>
          <w:rFonts w:ascii="Times New Roman" w:hAnsi="Times New Roman" w:cs="Times New Roman"/>
          <w:sz w:val="24"/>
          <w:szCs w:val="24"/>
        </w:rPr>
        <w:fldChar w:fldCharType="end"/>
      </w:r>
    </w:p>
  </w:endnote>
  <w:endnote w:id="27">
    <w:p w14:paraId="5D6E157F" w14:textId="3FD5E469"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URL":"https://sourcebooks.fordham.edu/basis/nennius-full.asp","accessed":{"date-parts":[["2019","8","25"]]},"author":[{"dropping-particle":"","family":"Nennius","given":"","non-dropping-particle":"","parse-names":false,"suffix":""}],"container-title":"Internet Medieval Sourcebook","id":"ITEM-1","issued":{"date-parts":[["1998"]]},"publisher-place":"New York","title":"Historia Brittonum","type":"webpage"},"prefix":"Both versions are given in Nennius, ","suppress-author":1,"uris":["http://www.mendeley.com/documents/?uuid=6d0e7977-7050-47d4-8133-b827fb417a91"]},{"id":"ITEM-2","itemData":{"author":[{"dropping-particle":"","family":"Mannyng","given":"Robert","non-dropping-particle":"","parse-names":false,"suffix":""}],"editor":[{"dropping-particle":"","family":"Sullens","given":"Idelle","non-dropping-particle":"","parse-names":false,"suffix":""}],"id":"ITEM-2","issued":{"date-parts":[["1998"]]},"publisher":"Medieval and Renaissance Texts","publisher-place":"Binghampton","title":"The Story of England","type":"book"},"prefix":"Later chronicles often found ways to combine the two, for example Robert Mannyng of Brunne’s 1338 history,","suppress-author":1,"uris":["http://www.mendeley.com/documents/?uuid=6078f9f3-5a26-42fd-8448-5b1651147586"]}],"mendeley":{"formattedCitation":"Both versions are given in Nennius, “Historia Brittonum,” Internet Medieval Sourcebook (New York, 1998), https://sourcebooks.fordham.edu/basis/nennius-full.asp; Later chronicles often found ways to combine the two, for example Robert Mannyng of Brunne’s 1338 history, &lt;i&gt;The Story of England&lt;/i&gt;, ed. Idelle Sullens (Binghampton: Medieval and Renaissance Texts, 1998).","manualFormatting":"Both versions are given in Nennius, ‘Historia Brittonum’, Internet Medieval Sourcebook (New York, 1998)  [accessed 25 August 2019]; later chronicles often found ways to combine the two, for example Robert Mannyng of Brunne’s 1338 history, The Story of England, ed. by Idelle Sullens (Binghampton: Medieval and Renaissance Texts, 1998).","plainTextFormattedCitation":"Both versions are given in Nennius, “Historia Brittonum,” Internet Medieval Sourcebook (New York, 1998), https://sourcebooks.fordham.edu/basis/nennius-full.asp; Later chronicles often found ways to combine the two, for example Robert Mannyng of Brunne’s 1338 history, The Story of England, ed. Idelle Sullens (Binghampton: Medieval and Renaissance Texts, 1998).","previouslyFormattedCitation":"Both versions are given in Nennius, “Historia Brittonum,” Internet Medieval Sourcebook (New York, 1998), https://sourcebooks.fordham.edu/basis/nennius-full.asp; Later chronicles often found ways to combine the two, for example Robert Mannyng of Brunne’s 1338 history, &lt;i&gt;The Story of England&lt;/i&gt;, ed. Idelle Sullens (Binghampton: Medieval and Renaissance Texts, 1998)."},"properties":{"noteIndex":0},"schema":"https://github.com/citation-style-language/schema/raw/master/csl-citation.json"}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Both versions are given in Nennius, ‘Historia Brittonum’, </w:t>
      </w:r>
      <w:r w:rsidRPr="00B950C8">
        <w:rPr>
          <w:rFonts w:ascii="Times New Roman" w:hAnsi="Times New Roman" w:cs="Times New Roman"/>
          <w:i/>
          <w:noProof/>
          <w:sz w:val="24"/>
          <w:szCs w:val="24"/>
        </w:rPr>
        <w:t>Internet Medieval Sourcebook</w:t>
      </w:r>
      <w:r w:rsidRPr="00B950C8">
        <w:rPr>
          <w:rFonts w:ascii="Times New Roman" w:hAnsi="Times New Roman" w:cs="Times New Roman"/>
          <w:noProof/>
          <w:sz w:val="24"/>
          <w:szCs w:val="24"/>
        </w:rPr>
        <w:t xml:space="preserve"> (New York, 1998) &lt;https://sourcebooks.fordham.edu/basis/nennius-full.asp&gt; [accessed 25 August 2019]; later chronicles often found ways to combine the two, for example Robert Mannyng of Brunne’s 1338 history, </w:t>
      </w:r>
      <w:r w:rsidRPr="00B950C8">
        <w:rPr>
          <w:rFonts w:ascii="Times New Roman" w:hAnsi="Times New Roman" w:cs="Times New Roman"/>
          <w:i/>
          <w:noProof/>
          <w:sz w:val="24"/>
          <w:szCs w:val="24"/>
        </w:rPr>
        <w:t>The Story of England</w:t>
      </w:r>
      <w:r w:rsidRPr="00B950C8">
        <w:rPr>
          <w:rFonts w:ascii="Times New Roman" w:hAnsi="Times New Roman" w:cs="Times New Roman"/>
          <w:noProof/>
          <w:sz w:val="24"/>
          <w:szCs w:val="24"/>
        </w:rPr>
        <w:t>, ed. by Idelle Sullens (Binghampton: Medieval and Renaissance Texts, 1998).</w:t>
      </w:r>
      <w:r w:rsidRPr="00B950C8">
        <w:rPr>
          <w:rFonts w:ascii="Times New Roman" w:hAnsi="Times New Roman" w:cs="Times New Roman"/>
          <w:sz w:val="24"/>
          <w:szCs w:val="24"/>
        </w:rPr>
        <w:fldChar w:fldCharType="end"/>
      </w:r>
    </w:p>
  </w:endnote>
  <w:endnote w:id="28">
    <w:p w14:paraId="5C1F9294" w14:textId="65376D97"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{"citationItems":[{"id":"ITEM-1","itemData":{"DOI":"10.1080/10314610708601228","ISSN":"1031461X","abstract":"This article examines the genealogy of the term terra nullius, which remains elusive even as it is now clear that the term is absent from the eighteenth- and early nineteenth-century historical record.1 I show, however, that terra nullius was generated by the history of European expansion and, specifically, by the natural law tradition that since the sixteenth century was employed to debate the justice of colonisation. I conclude that the contemporary use of the idea of terra nullius is consistent with a tradition in which natural law was used to oppose colonisation.","author":[{"dropping-particle":"","family":"Fitzmaurice","given":"Andrew","non-dropping-particle":"","parse-names":false,"suffix":""}],"container-title":"Australian Historical Studies","id":"ITEM-1","issue":"129","issued":{"date-parts":[["2007"]]},"page":"1-15","title":"The genealogy of terra nullius","type":"article-journal","volume":"38"},"uris":["http://www.mendeley.com/documents/?uuid=cb05a7c6-2960-4420-b10f-5c9bd7665f6b"]}],"mendeley":{"formattedCitation":"Andrew Fitzmaurice, “The Genealogy of Terra Nullius,” &lt;i&gt;Australian Historical Studies&lt;/i&gt; 38, no. 129 (2007): 1–15, https://doi.org/10.1080/10314610708601228.","plainTextFormattedCitation":"Andrew Fitzmaurice, “The Genealogy of Terra Nullius,” Australian Historical Studies 38, no. 129 (2007): 1–15, https://doi.org/10.1080/10314610708601228.","previouslyFormattedCitation":"Andrew Fitzmaurice, “The Genealogy of Terra Nullius,” &lt;i&gt;Australian Historical Studies&lt;/i&gt; 38, no. 129 (2007): 1–15, https://doi.org/10.1080/10314610708601228."},"properties":{"noteIndex":0},"schema":"https://github.com/citation-style-language/schema/raw/master/csl-citation.json"}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Andrew Fitzmaurice, “The Genealogy of Terra Nullius,” </w:t>
      </w:r>
      <w:r w:rsidRPr="00B950C8">
        <w:rPr>
          <w:rFonts w:ascii="Times New Roman" w:hAnsi="Times New Roman" w:cs="Times New Roman"/>
          <w:i/>
          <w:noProof/>
          <w:sz w:val="24"/>
          <w:szCs w:val="24"/>
        </w:rPr>
        <w:t>Australian Historical Studies</w:t>
      </w:r>
      <w:r w:rsidRPr="00B950C8">
        <w:rPr>
          <w:rFonts w:ascii="Times New Roman" w:hAnsi="Times New Roman" w:cs="Times New Roman"/>
          <w:noProof/>
          <w:sz w:val="24"/>
          <w:szCs w:val="24"/>
        </w:rPr>
        <w:t xml:space="preserve"> 38, no. 129 (2007): 1–15, https://doi.org/10.1080/10314610708601228.</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On the Lockean underpinnings of the concept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{"citationItems":[{"id":"ITEM-1","itemData":{"author":[{"dropping-particle":"","family":"Webb","given":"Raelene","non-dropping-particle":"","parse-names":false,"suffix":""}],"container-title":"James Cook University Law Review","id":"ITEM-1","issued":{"date-parts":[["2017"]]},"page":"31-40","title":"The Birthplace of Native Title - From Mabo to Akiba","type":"article-journal","volume":"23"},"uris":["http://www.mendeley.com/documents/?uuid=04827d78-bedb-4430-aeb2-5af7c44e8e29"]}],"mendeley":{"formattedCitation":"Webb, “The Birthplace of Native Title - From Mabo to Akiba.”","plainTextFormattedCitation":"Webb, “The Birthplace of Native Title - From Mabo to Akiba.”","previouslyFormattedCitation":"Webb, “The Birthplace of Native Title - From Mabo to Akiba.”"},"properties":{"noteIndex":0},"schema":"https://github.com/citation-style-language/schema/raw/master/csl-citation.json"}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Webb, “The Birthplace of Native Title - From Mabo to Akiba.”</w:t>
      </w:r>
      <w:r w:rsidRPr="00B950C8">
        <w:rPr>
          <w:rFonts w:ascii="Times New Roman" w:hAnsi="Times New Roman" w:cs="Times New Roman"/>
          <w:sz w:val="24"/>
          <w:szCs w:val="24"/>
        </w:rPr>
        <w:fldChar w:fldCharType="end"/>
      </w:r>
    </w:p>
  </w:endnote>
  <w:endnote w:id="29">
    <w:p w14:paraId="429AC417" w14:textId="2B100507"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{"citationItems":[{"id":"ITEM-1","itemData":{"author":[{"dropping-particle":"","family":"Geoffrey of Monmouth","given":"","non-dropping-particle":"","parse-names":false,"suffix":""}],"editor":[{"dropping-particle":"","family":"Thorpe","given":"Lewis","non-dropping-particle":"","parse-names":false,"suffix":""}],"id":"ITEM-1","issued":{"date-parts":[["1966"]]},"publisher":"Penguin","publisher-place":"London","title":"The History of the Kings of Britain","type":"book"},"uris":["http://www.mendeley.com/documents/?uuid=d67fdaf5-26b9-4bce-bb2b-03f20ad82ca0"]}],"mendeley":{"formattedCitation":"Geoffrey of Monmouth, &lt;i&gt;The History of the Kings of Britain&lt;/i&gt;, ed. Lewis Thorpe (London: Penguin, 1966).","plainTextFormattedCitation":"Geoffrey of Monmouth, The History of the Kings of Britain, ed. Lewis Thorpe (London: Penguin, 1966).","previouslyFormattedCitation":"Geoffrey of Monmouth, &lt;i&gt;The History of the Kings of Britain&lt;/i&gt;, ed. Lewis Thorpe (London: Penguin, 1966)."},"properties":{"noteIndex":0},"schema":"https://github.com/citation-style-language/schema/raw/master/csl-citation.json"}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Geoffrey of Monmouth, </w:t>
      </w:r>
      <w:r w:rsidRPr="00B950C8">
        <w:rPr>
          <w:rFonts w:ascii="Times New Roman" w:hAnsi="Times New Roman" w:cs="Times New Roman"/>
          <w:i/>
          <w:noProof/>
          <w:sz w:val="24"/>
          <w:szCs w:val="24"/>
        </w:rPr>
        <w:t>The History of the Kings of Britain</w:t>
      </w:r>
      <w:r w:rsidRPr="00B950C8">
        <w:rPr>
          <w:rFonts w:ascii="Times New Roman" w:hAnsi="Times New Roman" w:cs="Times New Roman"/>
          <w:noProof/>
          <w:sz w:val="24"/>
          <w:szCs w:val="24"/>
        </w:rPr>
        <w:t>, ed. Lewis Thorpe (London: Penguin, 1966).</w:t>
      </w:r>
      <w:r w:rsidRPr="00B950C8">
        <w:rPr>
          <w:rFonts w:ascii="Times New Roman" w:hAnsi="Times New Roman" w:cs="Times New Roman"/>
          <w:sz w:val="24"/>
          <w:szCs w:val="24"/>
        </w:rPr>
        <w:fldChar w:fldCharType="end"/>
      </w:r>
    </w:p>
  </w:endnote>
  <w:endnote w:id="30">
    <w:p w14:paraId="71530295" w14:textId="243C4263"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{"citationItems":[{"id":"ITEM-1","itemData":{"author":[{"dropping-particle":"","family":"Geoffrey of Monmouth","given":"","non-dropping-particle":"","parse-names":false,"suffix":""}],"editor":[{"dropping-particle":"","family":"Thorpe","given":"Lewis","non-dropping-particle":"","parse-names":false,"suffix":""}],"id":"ITEM-1","issued":{"date-parts":[["1966"]]},"publisher":"Penguin","publisher-place":"London","title":"The History of the Kings of Britain","type":"book"},"locator":"262","uris":["http://www.mendeley.com/documents/?uuid=d67fdaf5-26b9-4bce-bb2b-03f20ad82ca0"]}],"mendeley":{"formattedCitation":"Geoffrey of Monmouth, 262.","manualFormatting":"Geoffrey of Monmouth, The History of the Kings of Britain, ed. and trans. by Lewis Thorpe (London: Penguin, 1966), p. 262.","plainTextFormattedCitation":"Geoffrey of Monmouth, 262.","previouslyFormattedCitation":"Geoffrey of Monmouth, 262."},"properties":{"noteIndex":0},"schema":"https://github.com/citation-style-language/schema/raw/master/csl-citation.json"}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Geoffrey of Monmouth, </w:t>
      </w:r>
      <w:r w:rsidRPr="00B950C8">
        <w:rPr>
          <w:rFonts w:ascii="Times New Roman" w:hAnsi="Times New Roman" w:cs="Times New Roman"/>
          <w:i/>
          <w:noProof/>
          <w:sz w:val="24"/>
          <w:szCs w:val="24"/>
        </w:rPr>
        <w:t>The History of the Kings of Britain</w:t>
      </w:r>
      <w:r w:rsidRPr="00B950C8">
        <w:rPr>
          <w:rFonts w:ascii="Times New Roman" w:hAnsi="Times New Roman" w:cs="Times New Roman"/>
          <w:noProof/>
          <w:sz w:val="24"/>
          <w:szCs w:val="24"/>
        </w:rPr>
        <w:t>, ed. and trans. by Lewis Thorpe (London: Penguin, 1966), p. 262.</w:t>
      </w:r>
      <w:r w:rsidRPr="00B950C8">
        <w:rPr>
          <w:rFonts w:ascii="Times New Roman" w:hAnsi="Times New Roman" w:cs="Times New Roman"/>
          <w:sz w:val="24"/>
          <w:szCs w:val="24"/>
        </w:rPr>
        <w:fldChar w:fldCharType="end"/>
      </w:r>
    </w:p>
  </w:endnote>
  <w:endnote w:id="31">
    <w:p w14:paraId="15CB33AC" w14:textId="2217FD68"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{"citationItems":[{"id":"ITEM-1","itemData":{"author":[{"dropping-particle":"","family":"Geoffrey of Monmouth","given":"","non-dropping-particle":"","parse-names":false,"suffix":""}],"editor":[{"dropping-particle":"","family":"Thorpe","given":"Lewis","non-dropping-particle":"","parse-names":false,"suffix":""}],"id":"ITEM-1","issued":{"date-parts":[["1966"]]},"publisher":"Penguin","publisher-place":"London","title":"The History of the Kings of Britain","type":"book"},"locator":"274","uris":["http://www.mendeley.com/documents/?uuid=d67fdaf5-26b9-4bce-bb2b-03f20ad82ca0"]}],"mendeley":{"formattedCitation":"Geoffrey of Monmouth, 274.","plainTextFormattedCitation":"Geoffrey of Monmouth, 274.","previouslyFormattedCitation":"Geoffrey of Monmouth, 274."},"properties":{"noteIndex":0},"schema":"https://github.com/citation-style-language/schema/raw/master/csl-citation.json"}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Geoffrey of Monmouth, 274.</w:t>
      </w:r>
      <w:r w:rsidRPr="00B950C8">
        <w:rPr>
          <w:rFonts w:ascii="Times New Roman" w:hAnsi="Times New Roman" w:cs="Times New Roman"/>
          <w:sz w:val="24"/>
          <w:szCs w:val="24"/>
        </w:rPr>
        <w:fldChar w:fldCharType="end"/>
      </w:r>
    </w:p>
  </w:endnote>
  <w:endnote w:id="32">
    <w:p w14:paraId="7ADD76B2" w14:textId="5CFCA443"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{"citationItems":[{"id":"ITEM-1","itemData":{"author":[{"dropping-particle":"","family":"Henry of Huntingdon","given":"","non-dropping-particle":"","parse-names":false,"suffix":""}],"editor":[{"dropping-particle":"","family":"Greenway","given":"Diana","non-dropping-particle":"","parse-names":false,"suffix":""}],"id":"ITEM-1","issued":{"date-parts":[["1996"]]},"publisher":"Clarendon Press","publisher-place":"Oxford","title":"Historia Anglorum","type":"book"},"locator":"15","uris":["http://www.mendeley.com/documents/?uuid=28e57f8a-c57a-4959-94dc-7fc1341d8f03"]}],"mendeley":{"formattedCitation":"Henry of Huntingdon, &lt;i&gt;Historia Anglorum&lt;/i&gt;, 15.","plainTextFormattedCitation":"Henry of Huntingdon, Historia Anglorum, 15.","previouslyFormattedCitation":"Henry of Huntingdon, &lt;i&gt;Historia Anglorum&lt;/i&gt;, 15."},"properties":{"noteIndex":0},"schema":"https://github.com/citation-style-language/schema/raw/master/csl-citation.json"}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Henry of Huntingdon, </w:t>
      </w:r>
      <w:r w:rsidRPr="00B950C8">
        <w:rPr>
          <w:rFonts w:ascii="Times New Roman" w:hAnsi="Times New Roman" w:cs="Times New Roman"/>
          <w:i/>
          <w:noProof/>
          <w:sz w:val="24"/>
          <w:szCs w:val="24"/>
        </w:rPr>
        <w:t>Historia Anglorum</w:t>
      </w:r>
      <w:r w:rsidRPr="00B950C8">
        <w:rPr>
          <w:rFonts w:ascii="Times New Roman" w:hAnsi="Times New Roman" w:cs="Times New Roman"/>
          <w:noProof/>
          <w:sz w:val="24"/>
          <w:szCs w:val="24"/>
        </w:rPr>
        <w:t>, 15.</w:t>
      </w:r>
      <w:r w:rsidRPr="00B950C8">
        <w:rPr>
          <w:rFonts w:ascii="Times New Roman" w:hAnsi="Times New Roman" w:cs="Times New Roman"/>
          <w:sz w:val="24"/>
          <w:szCs w:val="24"/>
        </w:rPr>
        <w:fldChar w:fldCharType="end"/>
      </w:r>
    </w:p>
  </w:endnote>
  <w:endnote w:id="33">
    <w:p w14:paraId="3F5D1986" w14:textId="411686B4"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{"citationItems":[{"id":"ITEM-1","itemData":{"author":[{"dropping-particle":"","family":"Richard Howitt","given":"","non-dropping-particle":"","parse-names":false,"suffix":""}],"id":"ITEM-1","issued":{"date-parts":[["1845"]]},"publisher":"Longman, Brown, Green, and Longmans","publisher-place":"London","title":"Impressions of Australia Felix, during Four Years Residence in that Colony","type":"book"},"locator":"276","uris":["http://www.mendeley.com/documents/?uuid=976b84ff-a35a-4a9e-ba11-8a74e47d8525"]}],"mendeley":{"formattedCitation":"Richard Howitt, &lt;i&gt;Impressions of Australia Felix, during Four Years Residence in That Colony&lt;/i&gt; (London: Longman, Brown, Green, and Longmans, 1845), 276.","plainTextFormattedCitation":"Richard Howitt, Impressions of Australia Felix, during Four Years Residence in That Colony (London: Longman, Brown, Green, and Longmans, 1845), 276.","previouslyFormattedCitation":"Richard Howitt, &lt;i&gt;Impressions of Australia Felix, during Four Years Residence in That Colony&lt;/i&gt; (London: Longman, Brown, Green, and Longmans, 1845), 276."},"properties":{"noteIndex":0},"schema":"https://github.com/citation-style-language/schema/raw/master/csl-citation.json"}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Richard Howitt, </w:t>
      </w:r>
      <w:r w:rsidRPr="00B950C8">
        <w:rPr>
          <w:rFonts w:ascii="Times New Roman" w:hAnsi="Times New Roman" w:cs="Times New Roman"/>
          <w:i/>
          <w:noProof/>
          <w:sz w:val="24"/>
          <w:szCs w:val="24"/>
        </w:rPr>
        <w:t>Impressions of Australia Felix, during Four Years Residence in That Colony</w:t>
      </w:r>
      <w:r w:rsidRPr="00B950C8">
        <w:rPr>
          <w:rFonts w:ascii="Times New Roman" w:hAnsi="Times New Roman" w:cs="Times New Roman"/>
          <w:noProof/>
          <w:sz w:val="24"/>
          <w:szCs w:val="24"/>
        </w:rPr>
        <w:t xml:space="preserve"> (London: Longman, Brown, Green, and Longmans, 1845), 276.</w:t>
      </w:r>
      <w:r w:rsidRPr="00B950C8">
        <w:rPr>
          <w:rFonts w:ascii="Times New Roman" w:hAnsi="Times New Roman" w:cs="Times New Roman"/>
          <w:sz w:val="24"/>
          <w:szCs w:val="24"/>
        </w:rPr>
        <w:fldChar w:fldCharType="end"/>
      </w:r>
    </w:p>
  </w:endnote>
  <w:endnote w:id="34">
    <w:p w14:paraId="6EDA88E4" w14:textId="12B33483"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{"citationItems":[{"id":"ITEM-1","itemData":{"ISBN":"0816620628","author":[{"dropping-particle":"","family":"Moreton-Robinson","given":"Aileen","non-dropping-particle":"","parse-names":false,"suffix":""}],"id":"ITEM-1","issued":{"date-parts":[["2015"]]},"publisher":"University of Minnesota Press","publisher-place":"Minneapolis","title":"The White Possessive: Property, Power, and Indigenous Sovereignty","type":"book"},"uris":["http://www.mendeley.com/documents/?uuid=1247d431-d7fd-4a89-9ed5-d0b9d168c7b9"]}],"mendeley":{"formattedCitation":"Moreton-Robinson, &lt;i&gt;The White Possessive: Property, Power, and Indigenous Sovereignty&lt;/i&gt;.","plainTextFormattedCitation":"Moreton-Robinson, The White Possessive: Property, Power, and Indigenous Sovereignty.","previouslyFormattedCitation":"Moreton-Robinson, &lt;i&gt;The White Possessive: Property, Power, and Indigenous Sovereignty&lt;/i&gt;."},"properties":{"noteIndex":0},"schema":"https://github.com/citation-style-language/schema/raw/master/csl-citation.json"}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Moreton-Robinson, </w:t>
      </w:r>
      <w:r w:rsidRPr="00B950C8">
        <w:rPr>
          <w:rFonts w:ascii="Times New Roman" w:hAnsi="Times New Roman" w:cs="Times New Roman"/>
          <w:i/>
          <w:noProof/>
          <w:sz w:val="24"/>
          <w:szCs w:val="24"/>
        </w:rPr>
        <w:t>The White Possessive: Property, Power, and Indigenous Sovereignty</w:t>
      </w:r>
      <w:r w:rsidRPr="00B950C8">
        <w:rPr>
          <w:rFonts w:ascii="Times New Roman" w:hAnsi="Times New Roman" w:cs="Times New Roman"/>
          <w:noProof/>
          <w:sz w:val="24"/>
          <w:szCs w:val="24"/>
        </w:rPr>
        <w:t>.</w:t>
      </w:r>
      <w:r w:rsidRPr="00B950C8">
        <w:rPr>
          <w:rFonts w:ascii="Times New Roman" w:hAnsi="Times New Roman" w:cs="Times New Roman"/>
          <w:sz w:val="24"/>
          <w:szCs w:val="24"/>
        </w:rPr>
        <w:fldChar w:fldCharType="end"/>
      </w:r>
    </w:p>
  </w:endnote>
  <w:endnote w:id="35">
    <w:p w14:paraId="4844DED8" w14:textId="4BEFB546"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{"citationItems":[{"id":"ITEM-1","itemData":{"author":[{"dropping-particle":"","family":"Williams Jnr.","given":"Robert A.","non-dropping-particle":"","parse-names":false,"suffix":""}],"container-title":"Arizona Journal of International and Comparative Law","id":"ITEM-1","issued":{"date-parts":[["1991"]]},"page":"51-61","title":"Columbus's Legacy: Law as an Instrument of Racial Discrimination against Indigenous People's Rights of Self-Determination","type":"article-journal","volume":"8"},"uris":["http://www.mendeley.com/documents/?uuid=4869ec3c-4fb1-4f5b-8040-44bdb819e760"]},{"id":"ITEM-2","itemData":{"author":[{"dropping-particle":"","family":"Williams","given":"Robert A. Jr","non-dropping-particle":"","parse-names":false,"suffix":""}],"container-title":"Southern California Law Review","id":"ITEM-2","issued":{"date-parts":[["1983"]]},"page":"1-100","title":"The Medieval and Renaissance Origins of the Status of the American Indian in Western Legal Thought","type":"article-journal","volume":"57"},"uris":["http://www.mendeley.com/documents/?uuid=63d47892-4ef7-4b9c-b21c-a9cc95bfa698"]},{"id":"ITEM-3","itemData":{"DOI":"10.1016/j.marpol.2010.08.007","ISSN":"0308597X","abstract":"Since the advent of Western European exploration questions have been raised about the legality and morality of claims to new territories and the ensuing, often brutal colonisation patterns. The doctrine of discovery justified the acquisition of territories by conquest or other means. By the 19th century British common law included the doctrine of continuity, which recognised that the property rights of the indigenous people survived after the Crown acquired sovereignty over their territories. The Crown used a general treaty of cession and protection as the instrument for gaining sovereignty. In the context of Western European colonisation, this article discusses the statutory and judicial recognition of New Zealand's Treaty of Waitangi 1840 and native title to land. The ensuing discussion highlights statute and judicial decisions that depart from the Treaty and are unique within the British colonies. This article also discusses the settlement of Treaty-based claims to land and fisheries and the current debate regarding ownership of the land along the seacoast and beneath the sea. The article contributes to the broader discussion on indigenous rights. © 2010 Elsevier Ltd.","author":[{"dropping-particle":"","family":"Bess","given":"Randall","non-dropping-particle":"","parse-names":false,"suffix":""}],"container-title":"Marine Policy","id":"ITEM-3","issue":"1","issued":{"date-parts":[["2011"]]},"page":"85-94","publisher":"Elsevier","title":"New Zealand's Treaty of Waitangi and the doctrine of discovery: Implications for the foreshore and seabed","type":"article-journal","volume":"35"},"uris":["http://www.mendeley.com/documents/?uuid=dcdf7449-d457-4fb5-b1c5-1ed6645fb183"]}],"mendeley":{"formattedCitation":"Robert A. Williams Jnr., “Columbus’s Legacy: Law as an Instrument of Racial Discrimination against Indigenous People’s Rights of Self-Determination,” &lt;i&gt;Arizona Journal of International and Comparative Law&lt;/i&gt; 8 (1991): 51–61; Robert A. Jr Williams, “The Medieval and Renaissance Origins of the Status of the American Indian in Western Legal Thought,” &lt;i&gt;Southern California Law Review&lt;/i&gt; 57 (1983): 1–100; Randall Bess, “New Zealand’s Treaty of Waitangi and the Doctrine of Discovery: Implications for the Foreshore and Seabed,” &lt;i&gt;Marine Policy&lt;/i&gt; 35, no. 1 (2011): 85–94, https://doi.org/10.1016/j.marpol.2010.08.007.","plainTextFormattedCitation":"Robert A. Williams Jnr., “Columbus’s Legacy: Law as an Instrument of Racial Discrimination against Indigenous People’s Rights of Self-Determination,” Arizona Journal of International and Comparative Law 8 (1991): 51–61; Robert A. Jr Williams, “The Medieval and Renaissance Origins of the Status of the American Indian in Western Legal Thought,” Southern California Law Review 57 (1983): 1–100; Randall Bess, “New Zealand’s Treaty of Waitangi and the Doctrine of Discovery: Implications for the Foreshore and Seabed,” Marine Policy 35, no. 1 (2011): 85–94, https://doi.org/10.1016/j.marpol.2010.08.007.","previouslyFormattedCitation":"Robert A. Williams Jnr., “Columbus’s Legacy: Law as an Instrument of Racial Discrimination against Indigenous People’s Rights of Self-Determination,” &lt;i&gt;Arizona Journal of International and Comparative Law&lt;/i&gt; 8 (1991): 51–61; Robert A. Jr Williams, “The Medieval and Renaissance Origins of the Status of the American Indian in Western Legal Thought,” &lt;i&gt;Southern California Law Review&lt;/i&gt; 57 (1983): 1–100; Randall Bess, “New Zealand’s Treaty of Waitangi and the Doctrine of Discovery: Implications for the Foreshore and Seabed,” &lt;i&gt;Marine Policy&lt;/i&gt; 35, no. 1 (2011): 85–94, https://doi.org/10.1016/j.marpol.2010.08.007."},"properties":{"noteIndex":0},"schema":"https://github.com/citation-style-language/schema/raw/master/csl-citation.json"}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Robert A. Williams Jnr., “Columbus’s Legacy: Law as an Instrument of Racial Discrimination against Indigenous People’s Rights of Self-Determination,” </w:t>
      </w:r>
      <w:r w:rsidRPr="00B950C8">
        <w:rPr>
          <w:rFonts w:ascii="Times New Roman" w:hAnsi="Times New Roman" w:cs="Times New Roman"/>
          <w:i/>
          <w:noProof/>
          <w:sz w:val="24"/>
          <w:szCs w:val="24"/>
        </w:rPr>
        <w:t>Arizona Journal of International and Comparative Law</w:t>
      </w:r>
      <w:r w:rsidRPr="00B950C8">
        <w:rPr>
          <w:rFonts w:ascii="Times New Roman" w:hAnsi="Times New Roman" w:cs="Times New Roman"/>
          <w:noProof/>
          <w:sz w:val="24"/>
          <w:szCs w:val="24"/>
        </w:rPr>
        <w:t xml:space="preserve"> 8 (1991): 51–61; Robert A. Jr Williams, “The Medieval and Renaissance Origins of the Status of the American Indian in Western Legal Thought,” </w:t>
      </w:r>
      <w:r w:rsidRPr="00B950C8">
        <w:rPr>
          <w:rFonts w:ascii="Times New Roman" w:hAnsi="Times New Roman" w:cs="Times New Roman"/>
          <w:i/>
          <w:noProof/>
          <w:sz w:val="24"/>
          <w:szCs w:val="24"/>
        </w:rPr>
        <w:t>Southern California Law Review</w:t>
      </w:r>
      <w:r w:rsidRPr="00B950C8">
        <w:rPr>
          <w:rFonts w:ascii="Times New Roman" w:hAnsi="Times New Roman" w:cs="Times New Roman"/>
          <w:noProof/>
          <w:sz w:val="24"/>
          <w:szCs w:val="24"/>
        </w:rPr>
        <w:t xml:space="preserve"> 57 (1983): 1–100; Randall Bess, “New Zealand’s Treaty of Waitangi and the Doctrine of Discovery: Implications for the Foreshore and Seabed,” </w:t>
      </w:r>
      <w:r w:rsidRPr="00B950C8">
        <w:rPr>
          <w:rFonts w:ascii="Times New Roman" w:hAnsi="Times New Roman" w:cs="Times New Roman"/>
          <w:i/>
          <w:noProof/>
          <w:sz w:val="24"/>
          <w:szCs w:val="24"/>
        </w:rPr>
        <w:t>Marine Policy</w:t>
      </w:r>
      <w:r w:rsidRPr="00B950C8">
        <w:rPr>
          <w:rFonts w:ascii="Times New Roman" w:hAnsi="Times New Roman" w:cs="Times New Roman"/>
          <w:noProof/>
          <w:sz w:val="24"/>
          <w:szCs w:val="24"/>
        </w:rPr>
        <w:t xml:space="preserve"> 35, no.</w:t>
      </w:r>
      <w:r w:rsidR="00B950C8">
        <w:rPr>
          <w:rFonts w:ascii="Times New Roman" w:hAnsi="Times New Roman" w:cs="Times New Roman"/>
          <w:noProof/>
          <w:sz w:val="24"/>
          <w:szCs w:val="24"/>
        </w:rPr>
        <w:t xml:space="preserve"> 1 (2011): 85–94</w:t>
      </w:r>
      <w:r w:rsidRPr="00B950C8">
        <w:rPr>
          <w:rFonts w:ascii="Times New Roman" w:hAnsi="Times New Roman" w:cs="Times New Roman"/>
          <w:noProof/>
          <w:sz w:val="24"/>
          <w:szCs w:val="24"/>
        </w:rPr>
        <w:t>.</w:t>
      </w:r>
      <w:r w:rsidRPr="00B950C8">
        <w:rPr>
          <w:rFonts w:ascii="Times New Roman" w:hAnsi="Times New Roman" w:cs="Times New Roman"/>
          <w:sz w:val="24"/>
          <w:szCs w:val="24"/>
        </w:rPr>
        <w:fldChar w:fldCharType="end"/>
      </w:r>
    </w:p>
  </w:endnote>
  <w:endnote w:id="36">
    <w:p w14:paraId="1525F217" w14:textId="52343CA3"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{"citationItems":[{"id":"ITEM-1","itemData":{"author":[{"dropping-particle":"","family":"Anthony","given":"Thalia","non-dropping-particle":"","parse-names":false,"suffix":""}],"container-title":"Blackstone and his Commentaries: Biography, Law, History","editor":[{"dropping-particle":"","family":"Prest","given":"Wilfrid","non-dropping-particle":"","parse-names":false,"suffix":""}],"id":"ITEM-1","issued":{"date-parts":[["2009"]]},"page":"129-150","publisher":"Hart Publishing","publisher-place":"Oxford and Portland","title":"Blackstone's Commentaries on Colonialism: Australian Judicial Interpretations","type":"chapter"},"locator":"129","uris":["http://www.mendeley.com/documents/?uuid=350274b1-b6d6-4ce2-a591-d7ed369b2f48"]}],"mendeley":{"formattedCitation":"Thalia Anthony, “Blackstone’s Commentaries on Colonialism: Australian Judicial Interpretations,” in &lt;i&gt;Blackstone and His Commentaries: Biography, Law, History&lt;/i&gt;, ed. Wilfrid Prest (Oxford and Portland: Hart Publishing, 2009), 129.","plainTextFormattedCitation":"Thalia Anthony, “Blackstone’s Commentaries on Colonialism: Australian Judicial Interpretations,” in Blackstone and His Commentaries: Biography, Law, History, ed. Wilfrid Prest (Oxford and Portland: Hart Publishing, 2009), 129.","previouslyFormattedCitation":"Thalia Anthony, “Blackstone’s Commentaries on Colonialism: Australian Judicial Interpretations,” in &lt;i&gt;Blackstone and His Commentaries: Biography, Law, History&lt;/i&gt;, ed. Wilfrid Prest (Oxford and Portland: Hart Publishing, 2009), 129."},"properties":{"noteIndex":0},"schema":"https://github.com/citation-style-language/schema/raw/master/csl-citation.json"}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Thalia Anthony, “Blackstone’s Commentaries on Colonialism: Australian Judicial Interpretations,” in </w:t>
      </w:r>
      <w:r w:rsidRPr="00B950C8">
        <w:rPr>
          <w:rFonts w:ascii="Times New Roman" w:hAnsi="Times New Roman" w:cs="Times New Roman"/>
          <w:i/>
          <w:noProof/>
          <w:sz w:val="24"/>
          <w:szCs w:val="24"/>
        </w:rPr>
        <w:t>Blackstone and His Commentaries: Biography, Law, History</w:t>
      </w:r>
      <w:r w:rsidRPr="00B950C8">
        <w:rPr>
          <w:rFonts w:ascii="Times New Roman" w:hAnsi="Times New Roman" w:cs="Times New Roman"/>
          <w:noProof/>
          <w:sz w:val="24"/>
          <w:szCs w:val="24"/>
        </w:rPr>
        <w:t>, ed. Wilfrid Prest (Oxford and Portland: Hart Publishing, 2009), 129.</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On Blackstone’s medievalist “feudal fiction” and its use in India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{"citationItems":[{"id":"ITEM-1","itemData":{"author":[{"dropping-particle":"","family":"Davis","given":"Kathleen","non-dropping-particle":"","parse-names":false,"suffix":""}],"id":"ITEM-1","issued":{"date-parts":[["2008"]]},"publisher":"University of Pennsylvania Press","publisher-place":"Philadelphia","title":"Periodization and sovereignty : how ideas of feudalism and secularization govern the politics of time","type":"book"},"suffix":"esp. 62-74","uris":["http://www.mendeley.com/documents/?uuid=a77a4e62-dda0-4002-bc3a-a3eaa8dfd973"]}],"mendeley":{"formattedCitation":"Davis, &lt;i&gt;Periodization and Sovereignty : How Ideas of Feudalism and Secularization Govern the Politics of Time&lt;/i&gt; esp. 62-74.","plainTextFormattedCitation":"Davis, Periodization and Sovereignty : How Ideas of Feudalism and Secularization Govern the Politics of Time esp. 62-74.","previouslyFormattedCitation":"Davis, &lt;i&gt;Periodization and Sovereignty : How Ideas of Feudalism and Secularization Govern the Politics of Time&lt;/i&gt; esp. 62-74."},"properties":{"noteIndex":0},"schema":"https://github.com/citation-style-language/schema/raw/master/csl-citation.json"}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Davis, </w:t>
      </w:r>
      <w:r w:rsidRPr="00B950C8">
        <w:rPr>
          <w:rFonts w:ascii="Times New Roman" w:hAnsi="Times New Roman" w:cs="Times New Roman"/>
          <w:i/>
          <w:noProof/>
          <w:sz w:val="24"/>
          <w:szCs w:val="24"/>
        </w:rPr>
        <w:t>Periodization and Sovereignty : How Ideas of Feudalism and Secularization Govern the Politics of Time</w:t>
      </w:r>
      <w:r w:rsidRPr="00B950C8">
        <w:rPr>
          <w:rFonts w:ascii="Times New Roman" w:hAnsi="Times New Roman" w:cs="Times New Roman"/>
          <w:noProof/>
          <w:sz w:val="24"/>
          <w:szCs w:val="24"/>
        </w:rPr>
        <w:t xml:space="preserve"> esp. 62-74.</w:t>
      </w:r>
      <w:r w:rsidRPr="00B950C8">
        <w:rPr>
          <w:rFonts w:ascii="Times New Roman" w:hAnsi="Times New Roman" w:cs="Times New Roman"/>
          <w:sz w:val="24"/>
          <w:szCs w:val="24"/>
        </w:rPr>
        <w:fldChar w:fldCharType="end"/>
      </w:r>
    </w:p>
  </w:endnote>
  <w:endnote w:id="37">
    <w:p w14:paraId="6BC52C3A" w14:textId="77777777"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{"citationItems":[{"id":"ITEM-1","itemData":{"author":[{"dropping-particle":"","family":"Blackstone","given":"William","non-dropping-particle":"","parse-names":false,"suffix":""}],"id":"ITEM-1","issued":{"date-parts":[["2014"]]},"publisher":"University of Adelaide","publisher-place":"Adelaide","title":"Commentaries on the Laws of England","type":"book"},"label":"book","locator":"1","uris":["http://www.mendeley.com/documents/?uuid=6832fae1-260d-40b1-8cf2-65afb862c03b"]}],"mendeley":{"formattedCitation":"William Blackstone, &lt;i&gt;Commentaries on the Laws of England&lt;/i&gt; (Adelaide: University of Adelaide, 2014), bk. 1, https://ebooks.adelaide.edu.au/b/blackstone/william/comment/index.html.","plainTextFormattedCitation":"William Blackstone, Commentaries on the Laws of England (Adelaide: University of Adelaide, 2014), bk. 1, https://ebooks.adelaide.edu.au/b/blackstone/william/comment/index.html.","previouslyFormattedCitation":"William Blackstone, &lt;i&gt;Commentaries on the Laws of England&lt;/i&gt; (Adelaide: University of Adelaide, 2014), bk. 1, https://ebooks.adelaide.edu.au/b/blackstone/william/comment/index.html."},"properties":{"noteIndex":0},"schema":"https://github.com/citation-style-language/schema/raw/master/csl-citation.json"}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William Blackstone, </w:t>
      </w:r>
      <w:r w:rsidRPr="00B950C8">
        <w:rPr>
          <w:rFonts w:ascii="Times New Roman" w:hAnsi="Times New Roman" w:cs="Times New Roman"/>
          <w:i/>
          <w:noProof/>
          <w:sz w:val="24"/>
          <w:szCs w:val="24"/>
        </w:rPr>
        <w:t>Commentaries on the Laws of England</w:t>
      </w:r>
      <w:r w:rsidRPr="00B950C8">
        <w:rPr>
          <w:rFonts w:ascii="Times New Roman" w:hAnsi="Times New Roman" w:cs="Times New Roman"/>
          <w:noProof/>
          <w:sz w:val="24"/>
          <w:szCs w:val="24"/>
        </w:rPr>
        <w:t xml:space="preserve"> (Adelaide: University of Adelaide, 2014), bk. 1, https://ebooks.adelaide.edu.au/b/blackstone/william/comment/index.html.</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I have cited this version, based on the 2</w:t>
      </w:r>
      <w:r w:rsidRPr="00B950C8">
        <w:rPr>
          <w:rFonts w:ascii="Times New Roman" w:hAnsi="Times New Roman" w:cs="Times New Roman"/>
          <w:sz w:val="24"/>
          <w:szCs w:val="24"/>
          <w:vertAlign w:val="superscript"/>
        </w:rPr>
        <w:t>nd</w:t>
      </w:r>
      <w:r w:rsidRPr="00B950C8">
        <w:rPr>
          <w:rFonts w:ascii="Times New Roman" w:hAnsi="Times New Roman" w:cs="Times New Roman"/>
          <w:sz w:val="24"/>
          <w:szCs w:val="24"/>
        </w:rPr>
        <w:t xml:space="preserve"> edition of Blackstone’s works, as the most accessible source.</w:t>
      </w:r>
    </w:p>
  </w:endnote>
  <w:endnote w:id="38">
    <w:p w14:paraId="063E9F0A" w14:textId="77777777"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{"citationItems":[{"id":"ITEM-1","itemData":{"author":[{"dropping-particle":"","family":"Anthony","given":"Thalia","non-dropping-particle":"","parse-names":false,"suffix":""}],"container-title":"Blackstone and his Commentaries: Biography, Law, History","editor":[{"dropping-particle":"","family":"Prest","given":"Wilfrid","non-dropping-particle":"","parse-names":false,"suffix":""}],"id":"ITEM-1","issued":{"date-parts":[["2009"]]},"page":"129-150","publisher":"Hart Publishing","publisher-place":"Oxford and Portland","title":"Blackstone's Commentaries on Colonialism: Australian Judicial Interpretations","type":"chapter"},"locator":"130","uris":["http://www.mendeley.com/documents/?uuid=350274b1-b6d6-4ce2-a591-d7ed369b2f48"]}],"mendeley":{"formattedCitation":"Anthony, “Blackstone’s Commentaries on Colonialism: Australian Judicial Interpretations,” 130.","plainTextFormattedCitation":"Anthony, “Blackstone’s Commentaries on Colonialism: Australian Judicial Interpretations,” 130.","previouslyFormattedCitation":"Anthony, “Blackstone’s Commentaries on Colonialism: Australian Judicial Interpretations,” 130."},"properties":{"noteIndex":0},"schema":"https://github.com/citation-style-language/schema/raw/master/csl-citation.json"}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Anthony, “Blackstone’s Commentaries on Colonialism: Australian Judicial Interpretations,” 130.</w:t>
      </w:r>
      <w:r w:rsidRPr="00B950C8">
        <w:rPr>
          <w:rFonts w:ascii="Times New Roman" w:hAnsi="Times New Roman" w:cs="Times New Roman"/>
          <w:sz w:val="24"/>
          <w:szCs w:val="24"/>
        </w:rPr>
        <w:fldChar w:fldCharType="end"/>
      </w:r>
    </w:p>
  </w:endnote>
  <w:endnote w:id="39">
    <w:p w14:paraId="32C36BF5" w14:textId="704AFF4F"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{"citationItems":[{"id":"ITEM-1","itemData":{"author":[{"dropping-particle":"","family":"Davis","given":"Kathleen","non-dropping-particle":"","parse-names":false,"suffix":""}],"id":"ITEM-1","issued":{"date-parts":[["2008"]]},"publisher":"University of Pennsylvania Press","publisher-place":"Philadelphia","title":"Periodization and sovereignty : how ideas of feudalism and secularization govern the politics of time","type":"book"},"locator":"64","prefix":"Blackstone, qtd in","uris":["http://www.mendeley.com/documents/?uuid=a77a4e62-dda0-4002-bc3a-a3eaa8dfd973"]}],"mendeley":{"formattedCitation":"Blackstone, qtd in Davis, &lt;i&gt;Periodization and Sovereignty : How Ideas of Feudalism and Secularization Govern the Politics of Time&lt;/i&gt;, 64.","plainTextFormattedCitation":"Blackstone, qtd in Davis, Periodization and Sovereignty : How Ideas of Feudalism and Secularization Govern the Politics of Time, 64.","previouslyFormattedCitation":"Blackstone, qtd in Davis, &lt;i&gt;Periodization and Sovereignty : How Ideas of Feudalism and Secularization Govern the Politics of Time&lt;/i&gt;, 64."},"properties":{"noteIndex":0},"schema":"https://github.com/citation-style-language/schema/raw/master/csl-citation.json"}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Blackstone, qtd in Davis, </w:t>
      </w:r>
      <w:r w:rsidRPr="00B950C8">
        <w:rPr>
          <w:rFonts w:ascii="Times New Roman" w:hAnsi="Times New Roman" w:cs="Times New Roman"/>
          <w:i/>
          <w:noProof/>
          <w:sz w:val="24"/>
          <w:szCs w:val="24"/>
        </w:rPr>
        <w:t>Periodization and Sovereignty : How Ideas of Feudalism and Secularization Govern the Politics of Time</w:t>
      </w:r>
      <w:r w:rsidRPr="00B950C8">
        <w:rPr>
          <w:rFonts w:ascii="Times New Roman" w:hAnsi="Times New Roman" w:cs="Times New Roman"/>
          <w:noProof/>
          <w:sz w:val="24"/>
          <w:szCs w:val="24"/>
        </w:rPr>
        <w:t>, 64.</w:t>
      </w:r>
      <w:r w:rsidRPr="00B950C8">
        <w:rPr>
          <w:rFonts w:ascii="Times New Roman" w:hAnsi="Times New Roman" w:cs="Times New Roman"/>
          <w:sz w:val="24"/>
          <w:szCs w:val="24"/>
        </w:rPr>
        <w:fldChar w:fldCharType="end"/>
      </w:r>
    </w:p>
  </w:endnote>
  <w:endnote w:id="40">
    <w:p w14:paraId="1A141417" w14:textId="77777777" w:rsidR="00AB0598" w:rsidRPr="00B950C8" w:rsidRDefault="00AB0598"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Mason, CJ and McHugh, J.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{"citationItems":[{"id":"ITEM-1","itemData":{"id":"ITEM-1","issued":{"date-parts":[["1992"]]},"title":"Mabo v Queensland (No 2) HCA 23; (1992) 175 CLR 1 F.C. 92/014","type":"speech"},"label":"paragraph","locator":"1","uris":["http://www.mendeley.com/documents/?uuid=2a60cc2c-05df-4ccf-be23-92b4c5c26bd7"]}],"mendeley":{"formattedCitation":"“Mabo v Queensland (No 2) HCA 23; (1992) 175 CLR 1 F.C. 92/014,” para. 1.","plainTextFormattedCitation":"“Mabo v Queensland (No 2) HCA 23; (1992) 175 CLR 1 F.C. 92/014,” para. 1.","previouslyFormattedCitation":"“Mabo v Queensland (No 2) HCA 23; (1992) 175 CLR 1 F.C. 92/014,” para. 1."},"properties":{"noteIndex":0},"schema":"https://github.com/citation-style-language/schema/raw/master/csl-citation.json"}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“Mabo v Queensland (No 2) HCA 23; (1992) 175 CLR 1 F.C. 92/014,” para. 1.</w:t>
      </w:r>
      <w:r w:rsidRPr="00B950C8">
        <w:rPr>
          <w:rFonts w:ascii="Times New Roman" w:hAnsi="Times New Roman" w:cs="Times New Roman"/>
          <w:sz w:val="24"/>
          <w:szCs w:val="24"/>
        </w:rPr>
        <w:fldChar w:fldCharType="end"/>
      </w:r>
    </w:p>
  </w:endnote>
  <w:endnote w:id="41">
    <w:p w14:paraId="075478C9" w14:textId="7173A7B5"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Judgements were also given by Justice Toohey, Chief Justice Mason and Justice McHugh, and a dissent by Justice Dawson. Citations are given by the name of the relevant judge and paragraph number within their written judgement. The judgements are collated at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{"citationItems":[{"id":"ITEM-1","itemData":{"id":"ITEM-1","issued":{"date-parts":[["1992"]]},"title":"Mabo v Queensland (No 2) HCA 23; (1992) 175 CLR 1 F.C. 92/014","type":"speech"},"uris":["http://www.mendeley.com/documents/?uuid=2a60cc2c-05df-4ccf-be23-92b4c5c26bd7"]}],"mendeley":{"formattedCitation":"“Mabo v Queensland (No 2) HCA 23; (1992) 175 CLR 1 F.C. 92/014.”","plainTextFormattedCitation":"“Mabo v Queensland (No 2) HCA 23; (1992) 175 CLR 1 F.C. 92/014.”","previouslyFormattedCitation":"“Mabo v Queensland (No 2) HCA 23; (1992) 175 CLR 1 F.C. 92/014.”"},"properties":{"noteIndex":0},"schema":"https://github.com/citation-style-language/schema/raw/master/csl-citation.json"}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“Mabo v Queensland (No 2) HCA 23; (1992) 175 CLR 1 F.C. 92/014.”</w:t>
      </w:r>
      <w:r w:rsidRPr="00B950C8">
        <w:rPr>
          <w:rFonts w:ascii="Times New Roman" w:hAnsi="Times New Roman" w:cs="Times New Roman"/>
          <w:sz w:val="24"/>
          <w:szCs w:val="24"/>
        </w:rPr>
        <w:fldChar w:fldCharType="end"/>
      </w:r>
    </w:p>
  </w:endnote>
  <w:endnote w:id="42">
    <w:p w14:paraId="41B38ED3" w14:textId="420FC503"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{"citationItems":[{"id":"ITEM-1","itemData":{"id":"ITEM-1","issued":{"date-parts":[["1992"]]},"title":"Mabo v Queensland (No 2) HCA 23; (1992) 175 CLR 1 F.C. 92/014","type":"speech"},"label":"paragraph","locator":"7","prefix":"Deane and Gaudron JJ.","uris":["http://www.mendeley.com/documents/?uuid=2a60cc2c-05df-4ccf-be23-92b4c5c26bd7"]}],"mendeley":{"formattedCitation":"Deane and Gaudron JJ. “Mabo v Queensland (No 2) HCA 23; (1992) 175 CLR 1 F.C. 92/014,” para. 7.","plainTextFormattedCitation":"Deane and Gaudron JJ. “Mabo v Queensland (No 2) HCA 23; (1992) 175 CLR 1 F.C. 92/014,” para. 7.","previouslyFormattedCitation":"Deane and Gaudron JJ. “Mabo v Queensland (No 2) HCA 23; (1992) 175 CLR 1 F.C. 92/014,” para. 7."},"properties":{"noteIndex":0},"schema":"https://github.com/citation-style-language/schema/raw/master/csl-citation.json"}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Deane and Gaudron JJ. “Mabo v Queensland (No 2) HCA 23; (1992) 175 CLR 1 F.C. 92/014,” para. 7.</w:t>
      </w:r>
      <w:r w:rsidRPr="00B950C8">
        <w:rPr>
          <w:rFonts w:ascii="Times New Roman" w:hAnsi="Times New Roman" w:cs="Times New Roman"/>
          <w:sz w:val="24"/>
          <w:szCs w:val="24"/>
        </w:rPr>
        <w:fldChar w:fldCharType="end"/>
      </w:r>
    </w:p>
  </w:endnote>
  <w:endnote w:id="43">
    <w:p w14:paraId="3B445DB7" w14:textId="509B69B1"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{"citationItems":[{"id":"ITEM-1","itemData":{"id":"ITEM-1","issued":{"date-parts":[["1992"]]},"title":"Mabo v Queensland (No 2) HCA 23; (1992) 175 CLR 1 F.C. 92/014","type":"speech"},"label":"paragraph","locator":"52","prefix":"Brennan, J.","uris":["http://www.mendeley.com/documents/?uuid=2a60cc2c-05df-4ccf-be23-92b4c5c26bd7"]}],"mendeley":{"formattedCitation":"Brennan, J. “Mabo v Queensland (No 2) HCA 23; (1992) 175 CLR 1 F.C. 92/014,” para. 52.","plainTextFormattedCitation":"Brennan, J. “Mabo v Queensland (No 2) HCA 23; (1992) 175 CLR 1 F.C. 92/014,” para. 52.","previouslyFormattedCitation":"Brennan, J. “Mabo v Queensland (No 2) HCA 23; (1992) 175 CLR 1 F.C. 92/014,” para. 52."},"properties":{"noteIndex":0},"schema":"https://github.com/citation-style-language/schema/raw/master/csl-citation.json"}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Brennan, J. “Mabo v Queensland (No 2) HCA 23; (1992) 175 CLR 1 F.C. 92/014,” para. 52.</w:t>
      </w:r>
      <w:r w:rsidRPr="00B950C8">
        <w:rPr>
          <w:rFonts w:ascii="Times New Roman" w:hAnsi="Times New Roman" w:cs="Times New Roman"/>
          <w:sz w:val="24"/>
          <w:szCs w:val="24"/>
        </w:rPr>
        <w:fldChar w:fldCharType="end"/>
      </w:r>
    </w:p>
  </w:endnote>
  <w:endnote w:id="44">
    <w:p w14:paraId="19D4A6D8" w14:textId="1392483E"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{"citationItems":[{"id":"ITEM-1","itemData":{"id":"ITEM-1","issued":{"date-parts":[["1992"]]},"title":"Mabo v Queensland (No 2) HCA 23; (1992) 175 CLR 1 F.C. 92/014","type":"speech"},"label":"paragraph","locator":"49","prefix":"Brennan, J.","uris":["http://www.mendeley.com/documents/?uuid=2a60cc2c-05df-4ccf-be23-92b4c5c26bd7"]}],"mendeley":{"formattedCitation":"Brennan, J. “Mabo v Queensland (No 2) HCA 23; (1992) 175 CLR 1 F.C. 92/014,” para. 49.","plainTextFormattedCitation":"Brennan, J. “Mabo v Queensland (No 2) HCA 23; (1992) 175 CLR 1 F.C. 92/014,” para. 49.","previouslyFormattedCitation":"Brennan, J. “Mabo v Queensland (No 2) HCA 23; (1992) 175 CLR 1 F.C. 92/014,” para. 49."},"properties":{"noteIndex":0},"schema":"https://github.com/citation-style-language/schema/raw/master/csl-citation.json"}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bCs/>
          <w:noProof/>
          <w:sz w:val="24"/>
          <w:szCs w:val="24"/>
          <w:lang w:val="en-US"/>
        </w:rPr>
        <w:t>Brennan, J. “Mabo v Queensland (No 2) HCA 23; (1992) 175 CLR 1 F.C. 92/014,” para. 49.</w:t>
      </w:r>
      <w:r w:rsidRPr="00B950C8">
        <w:rPr>
          <w:rFonts w:ascii="Times New Roman" w:hAnsi="Times New Roman" w:cs="Times New Roman"/>
          <w:sz w:val="24"/>
          <w:szCs w:val="24"/>
        </w:rPr>
        <w:fldChar w:fldCharType="end"/>
      </w:r>
    </w:p>
  </w:endnote>
  <w:endnote w:id="45">
    <w:p w14:paraId="0E115D53" w14:textId="3ABE3C35"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On this point Justice Brennan cites Kenelm Digby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{"citationItems":[{"id":"ITEM-1","itemData":{"author":[{"dropping-particle":"","family":"Digby","given":"Kenelm","non-dropping-particle":"","parse-names":false,"suffix":""}],"edition":"5th","id":"ITEM-1","issued":{"date-parts":[["1897"]]},"publisher":"Clarendon Press","publisher-place":"Oxford","title":"The History of the Law of Real Property","type":"book"},"suppress-author":1,"uris":["http://www.mendeley.com/documents/?uuid=5c6efec8-687f-46f2-9404-f33665639626"]}],"mendeley":{"formattedCitation":"&lt;i&gt;The History of the Law of Real Property&lt;/i&gt;, 5th ed. (Oxford: Clarendon Press, 1897).","manualFormatting":"The History of the Law of Real Property, 5th edn (Oxford: Clarendon Press, 1897)","plainTextFormattedCitation":"The History of the Law of Real Property, 5th ed. (Oxford: Clarendon Press, 1897).","previouslyFormattedCitation":"&lt;i&gt;The History of the Law of Real Property&lt;/i&gt;, 5th ed. (Oxford: Clarendon Press, 1897)."},"properties":{"noteIndex":0},"schema":"https://github.com/citation-style-language/schema/raw/master/csl-citation.json"}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i/>
          <w:noProof/>
          <w:sz w:val="24"/>
          <w:szCs w:val="24"/>
        </w:rPr>
        <w:t>The History of the Law of Real Property</w:t>
      </w:r>
      <w:r w:rsidRPr="00B950C8">
        <w:rPr>
          <w:rFonts w:ascii="Times New Roman" w:hAnsi="Times New Roman" w:cs="Times New Roman"/>
          <w:noProof/>
          <w:sz w:val="24"/>
          <w:szCs w:val="24"/>
        </w:rPr>
        <w:t>, 5th edn (Oxford: Clarendon Press, 1897)</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Matthew Bacon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{"citationItems":[{"id":"ITEM-1","itemData":{"author":[{"dropping-particle":"","family":"Bacon","given":"Matthew","non-dropping-particle":"","parse-names":false,"suffix":""}],"id":"ITEM-1","issued":{"date-parts":[["1807"]]},"publisher":"A. Strahan","publisher-place":"London","title":"A New Abridgement of the Law","type":"book"},"label":"volume","locator":"5","suppress-author":1,"uris":["http://www.mendeley.com/documents/?uuid=b076f8ac-bf67-4a30-bcd0-12f058538e8a"]}],"mendeley":{"formattedCitation":"&lt;i&gt;A New Abridgement of the Law&lt;/i&gt; (London: A. Strahan, 1807), vol. 5.","manualFormatting":"A New Abridgement of the Law (London: A. Strahan, 1807), vol. 5","plainTextFormattedCitation":"A New Abridgement of the Law (London: A. Strahan, 1807), vol. 5.","previouslyFormattedCitation":"&lt;i&gt;A New Abridgement of the Law&lt;/i&gt; (London: A. Strahan, 1807), vol. 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i/>
          <w:noProof/>
          <w:sz w:val="24"/>
          <w:szCs w:val="24"/>
        </w:rPr>
        <w:t>A New Abridgement of the Law</w:t>
      </w:r>
      <w:r w:rsidRPr="00B950C8">
        <w:rPr>
          <w:rFonts w:ascii="Times New Roman" w:hAnsi="Times New Roman" w:cs="Times New Roman"/>
          <w:noProof/>
          <w:sz w:val="24"/>
          <w:szCs w:val="24"/>
        </w:rPr>
        <w:t xml:space="preserve"> (London: A. Strahan, 1807), vol. 5</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and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{"citationItems":[{"id":"ITEM-1","itemData":{"author":[{"dropping-particle":"","family":"Blackstone","given":"William","non-dropping-particle":"","parse-names":false,"suffix":""}],"edition":"17th","id":"ITEM-1","issued":{"date-parts":[["1830"]]},"publisher":"Richard Taylor","publisher-place":"London","title":"Commentaries on the Law of England","type":"book"},"label":"volume","locator":"2","uris":["http://www.mendeley.com/documents/?uuid=d0402d19-c189-4777-ac53-6ffebba3230a"]}],"mendeley":{"formattedCitation":"William Blackstone, &lt;i&gt;Commentaries on the Law of England&lt;/i&gt;, 17th ed. (London: Richard Taylor, 1830), vol. 2.","plainTextFormattedCitation":"William Blackstone, Commentaries on the Law of England, 17th ed. (London: Richard Taylor, 1830), vol. 2.","previouslyFormattedCitation":"William Blackstone, &lt;i&gt;Commentaries on the Law of England&lt;/i&gt;, 17th ed. (London: Richard Taylor, 1830), vol. 2."},"properties":{"noteIndex":0},"schema":"https://github.com/citation-style-language/schema/raw/master/csl-citation.json"}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William Blackstone, </w:t>
      </w:r>
      <w:r w:rsidRPr="00B950C8">
        <w:rPr>
          <w:rFonts w:ascii="Times New Roman" w:hAnsi="Times New Roman" w:cs="Times New Roman"/>
          <w:i/>
          <w:noProof/>
          <w:sz w:val="24"/>
          <w:szCs w:val="24"/>
        </w:rPr>
        <w:t>Commentaries on the Law of England</w:t>
      </w:r>
      <w:r w:rsidRPr="00B950C8">
        <w:rPr>
          <w:rFonts w:ascii="Times New Roman" w:hAnsi="Times New Roman" w:cs="Times New Roman"/>
          <w:noProof/>
          <w:sz w:val="24"/>
          <w:szCs w:val="24"/>
        </w:rPr>
        <w:t>, 17th ed. (London: Richard Taylor, 1830), vol. 2.</w:t>
      </w:r>
      <w:r w:rsidRPr="00B950C8">
        <w:rPr>
          <w:rFonts w:ascii="Times New Roman" w:hAnsi="Times New Roman" w:cs="Times New Roman"/>
          <w:sz w:val="24"/>
          <w:szCs w:val="24"/>
        </w:rPr>
        <w:fldChar w:fldCharType="end"/>
      </w:r>
    </w:p>
  </w:endnote>
  <w:endnote w:id="46">
    <w:p w14:paraId="487FC617" w14:textId="4C5A2ADF"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Brennan, J. </w:t>
      </w:r>
      <w:r w:rsidRPr="00B950C8">
        <w:rPr>
          <w:rFonts w:ascii="Times New Roman" w:hAnsi="Times New Roman" w:cs="Times New Roman"/>
          <w:bCs/>
          <w:noProof/>
          <w:sz w:val="24"/>
          <w:szCs w:val="24"/>
          <w:lang w:val="en-US"/>
        </w:rPr>
        <w:t>“Mabo v Queensland (No 2) HCA 23; (1992) 175 CLR 1 F.C. 92/014,” para. 49.</w:t>
      </w:r>
    </w:p>
  </w:endnote>
  <w:endnote w:id="47">
    <w:p w14:paraId="6F22FF99" w14:textId="03664B53"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Brennan, J.</w:t>
      </w:r>
      <w:r w:rsid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{"citationItems":[{"id":"ITEM-1","itemData":{"id":"ITEM-1","issued":{"date-parts":[["1992"]]},"title":"Mabo v Queensland (No 2) HCA 23; (1992) 175 CLR 1 F.C. 92/014","type":"speech"},"label":"paragraph","locator":"49","uris":["http://www.mendeley.com/documents/?uuid=2a60cc2c-05df-4ccf-be23-92b4c5c26bd7"]}],"mendeley":{"formattedCitation":"“Mabo v Queensland (No 2) HCA 23; (1992) 175 CLR 1 F.C. 92/014,” para. 49.","plainTextFormattedCitation":"“Mabo v Queensland (No 2) HCA 23; (1992) 175 CLR 1 F.C. 92/014,” para. 49.","previouslyFormattedCitation":"“Mabo v Queensland (No 2) HCA 23; (1992) 175 CLR 1 F.C. 92/014,” para. 49."},"properties":{"noteIndex":0},"schema":"https://github.com/citation-style-language/schema/raw/master/csl-citation.json"}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bCs/>
          <w:noProof/>
          <w:sz w:val="24"/>
          <w:szCs w:val="24"/>
          <w:lang w:val="en-US"/>
        </w:rPr>
        <w:t>“Mabo v Queensland (No 2) HCA 23; (1992) 175 CLR 1 F.C. 92/014,” para. 49.</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The quotation is from Blackstone, vol 2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{"citationItems":[{"id":"ITEM-1","itemData":{"author":[{"dropping-particle":"","family":"Blackstone","given":"William","non-dropping-particle":"","parse-names":false,"suffix":""}],"edition":"17th","id":"ITEM-1","issued":{"date-parts":[["1830"]]},"publisher":"Richard Taylor","publisher-place":"London","title":"Commentaries on the Law of England","type":"book"},"locator":"90","suppress-author":1,"uris":["http://www.mendeley.com/documents/?uuid=d0402d19-c189-4777-ac53-6ffebba3230a"]}],"mendeley":{"formattedCitation":"&lt;i&gt;Commentaries on the Law of England&lt;/i&gt;, 90.","plainTextFormattedCitation":"Commentaries on the Law of England, 90.","previouslyFormattedCitation":"&lt;i&gt;Commentaries on the Law of England&lt;/i&gt;, 90."},"properties":{"noteIndex":0},"schema":"https://github.com/citation-style-language/schema/raw/master/csl-citation.json"}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i/>
          <w:noProof/>
          <w:sz w:val="24"/>
          <w:szCs w:val="24"/>
        </w:rPr>
        <w:t>Commentaries on the Law of England</w:t>
      </w:r>
      <w:r w:rsidRPr="00B950C8">
        <w:rPr>
          <w:rFonts w:ascii="Times New Roman" w:hAnsi="Times New Roman" w:cs="Times New Roman"/>
          <w:noProof/>
          <w:sz w:val="24"/>
          <w:szCs w:val="24"/>
        </w:rPr>
        <w:t>, 90.</w:t>
      </w:r>
      <w:r w:rsidRPr="00B950C8">
        <w:rPr>
          <w:rFonts w:ascii="Times New Roman" w:hAnsi="Times New Roman" w:cs="Times New Roman"/>
          <w:sz w:val="24"/>
          <w:szCs w:val="24"/>
        </w:rPr>
        <w:fldChar w:fldCharType="end"/>
      </w:r>
    </w:p>
  </w:endnote>
  <w:endnote w:id="48">
    <w:p w14:paraId="7F38EFFF" w14:textId="55B1FAD3" w:rsidR="00271224" w:rsidRPr="00B950C8" w:rsidRDefault="00271224"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00333F63" w:rsidRPr="00B950C8">
        <w:rPr>
          <w:rFonts w:ascii="Times New Roman" w:hAnsi="Times New Roman" w:cs="Times New Roman"/>
          <w:sz w:val="24"/>
          <w:szCs w:val="24"/>
        </w:rPr>
        <w:instrText>ADDIN CSL_CITATION {"citationItems":[{"id":"ITEM-1","itemData":{"author":[{"dropping-particle":"","family":"Davis","given":"Kathleen","non-dropping-particle":"","parse-names":false,"suffix":""}],"id":"ITEM-1","issued":{"date-parts":[["2008"]]},"publisher":"University of Pennsylvania Press","publisher-place":"Philadelphia","title":"Periodization and sovereignty : how ideas of feudalism and secularization govern the politics of time","type":"book"},"locator":"64","uris":["http://www.mendeley.com/documents/?uuid=a77a4e62-dda0-4002-bc3a-a3eaa8dfd973"]}],"mendeley":{"formattedCitation":"Davis, &lt;i&gt;Periodization and Sovereignty : How Ideas of Feudalism and Secularization Govern the Politics of Time&lt;/i&gt;, 64.","plainTextFormattedCitation":"Davis, Periodization and Sovereignty : How Ideas of Feudalism and Secularization Govern the Politics of Time, 64.","previouslyFormattedCitation":"Davis, &lt;i&gt;Periodization and Sovereignty : How Ideas of Feudalism and Secularization Govern the Politics of Time&lt;/i&gt;, 64."},"properties":{"noteIndex":0},"schema":"https://github.com/citation-style-language/schema/raw/master/csl-citation.json"}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Davis, </w:t>
      </w:r>
      <w:r w:rsidRPr="00B950C8">
        <w:rPr>
          <w:rFonts w:ascii="Times New Roman" w:hAnsi="Times New Roman" w:cs="Times New Roman"/>
          <w:i/>
          <w:noProof/>
          <w:sz w:val="24"/>
          <w:szCs w:val="24"/>
        </w:rPr>
        <w:t>Periodization and Sovereignty : How Ideas of Feudalism and Secularization Govern the Politics of Time</w:t>
      </w:r>
      <w:r w:rsidRPr="00B950C8">
        <w:rPr>
          <w:rFonts w:ascii="Times New Roman" w:hAnsi="Times New Roman" w:cs="Times New Roman"/>
          <w:noProof/>
          <w:sz w:val="24"/>
          <w:szCs w:val="24"/>
        </w:rPr>
        <w:t>, 64.</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Whether Blackstone is right about this is irrelevant</w:t>
      </w:r>
      <w:r w:rsidR="00B950C8">
        <w:rPr>
          <w:rFonts w:ascii="Times New Roman" w:hAnsi="Times New Roman" w:cs="Times New Roman"/>
          <w:sz w:val="24"/>
          <w:szCs w:val="24"/>
        </w:rPr>
        <w:t xml:space="preserve"> in practice</w:t>
      </w:r>
      <w:r w:rsidRPr="00B950C8">
        <w:rPr>
          <w:rFonts w:ascii="Times New Roman" w:hAnsi="Times New Roman" w:cs="Times New Roman"/>
          <w:sz w:val="24"/>
          <w:szCs w:val="24"/>
        </w:rPr>
        <w:t>.</w:t>
      </w:r>
    </w:p>
  </w:endnote>
  <w:endnote w:id="49">
    <w:p w14:paraId="4784697F" w14:textId="5ECA000D"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If Cook indeed retrospectively made up his acts on Possession Island and arguments that principles other than </w:t>
      </w:r>
      <w:r w:rsidRPr="00B950C8">
        <w:rPr>
          <w:rFonts w:ascii="Times New Roman" w:hAnsi="Times New Roman" w:cs="Times New Roman"/>
          <w:i/>
          <w:sz w:val="24"/>
          <w:szCs w:val="24"/>
        </w:rPr>
        <w:t xml:space="preserve">terra nullius </w:t>
      </w:r>
      <w:r w:rsidRPr="00B950C8">
        <w:rPr>
          <w:rFonts w:ascii="Times New Roman" w:hAnsi="Times New Roman" w:cs="Times New Roman"/>
          <w:sz w:val="24"/>
          <w:szCs w:val="24"/>
        </w:rPr>
        <w:t>were used to justify British claims to sovereignty in the early colonial years, as discussed above, are correct this statement is thrown into even sharper reality,</w:t>
      </w:r>
    </w:p>
  </w:endnote>
  <w:endnote w:id="50">
    <w:p w14:paraId="713C11B5" w14:textId="3E3F95E8"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Brennan, J.</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{"citationItems":[{"id":"ITEM-1","itemData":{"id":"ITEM-1","issued":{"date-parts":[["1992"]]},"title":"Mabo v Queensland (No 2) HCA 23; (1992) 175 CLR 1 F.C. 92/014","type":"speech"},"label":"paragraph","locator":"49","uris":["http://www.mendeley.com/documents/?uuid=2a60cc2c-05df-4ccf-be23-92b4c5c26bd7"]}],"mendeley":{"formattedCitation":"“Mabo v Queensland (No 2) HCA 23; (1992) 175 CLR 1 F.C. 92/014,” para. 49.","plainTextFormattedCitation":"“Mabo v Queensland (No 2) HCA 23; (1992) 175 CLR 1 F.C. 92/014,” para. 49.","previouslyFormattedCitation":"“Mabo v Queensland (No 2) HCA 23; (1992) 175 CLR 1 F.C. 92/014,” para. 49."},"properties":{"noteIndex":0},"schema":"https://github.com/citation-style-language/schema/raw/master/csl-citation.json"}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bCs/>
          <w:noProof/>
          <w:sz w:val="24"/>
          <w:szCs w:val="24"/>
          <w:lang w:val="en-US"/>
        </w:rPr>
        <w:t>“Mabo v Queensland (No 2) HCA 23; (1992) 175 CLR 1 F.C. 92/014,” para. 49.</w:t>
      </w:r>
      <w:r w:rsidRPr="00B950C8">
        <w:rPr>
          <w:rFonts w:ascii="Times New Roman" w:hAnsi="Times New Roman" w:cs="Times New Roman"/>
          <w:sz w:val="24"/>
          <w:szCs w:val="24"/>
        </w:rPr>
        <w:fldChar w:fldCharType="end"/>
      </w:r>
    </w:p>
  </w:endnote>
  <w:endnote w:id="51">
    <w:p w14:paraId="5E1AEC97" w14:textId="28E238C8"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{"citationItems":[{"id":"ITEM-1","itemData":{"ISBN":"0822321998, 9780822321996","author":[{"dropping-particle":"","family":"Biddick","given":"Katherine","non-dropping-particle":"","parse-names":false,"suffix":""}],"id":"ITEM-1","issued":{"date-parts":[["1998"]]},"publisher":"Duke University Press","publisher-place":"London, UK","title":"The Shock of Medievalism","type":"book"},"locator":"83","uris":["http://www.mendeley.com/documents/?uuid=88da7d63-40b6-4059-b4ed-c1189c67d89c"]}],"mendeley":{"formattedCitation":"Katherine Biddick, &lt;i&gt;The Shock of Medievalism&lt;/i&gt; (London, UK: Duke University Press, 1998), 83.","plainTextFormattedCitation":"Katherine Biddick, The Shock of Medievalism (London, UK: Duke University Press, 1998), 83.","previouslyFormattedCitation":"Katherine Biddick, &lt;i&gt;The Shock of Medievalism&lt;/i&gt; (London, UK: Duke University Press, 1998), 83."},"properties":{"noteIndex":0},"schema":"https://github.com/citation-style-language/schema/raw/master/csl-citation.json"}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Katherine Biddick, </w:t>
      </w:r>
      <w:r w:rsidRPr="00B950C8">
        <w:rPr>
          <w:rFonts w:ascii="Times New Roman" w:hAnsi="Times New Roman" w:cs="Times New Roman"/>
          <w:i/>
          <w:noProof/>
          <w:sz w:val="24"/>
          <w:szCs w:val="24"/>
        </w:rPr>
        <w:t>The Shock of Medievalism</w:t>
      </w:r>
      <w:r w:rsidRPr="00B950C8">
        <w:rPr>
          <w:rFonts w:ascii="Times New Roman" w:hAnsi="Times New Roman" w:cs="Times New Roman"/>
          <w:noProof/>
          <w:sz w:val="24"/>
          <w:szCs w:val="24"/>
        </w:rPr>
        <w:t xml:space="preserve"> (London, UK: Duke University Press, 1998), 83.</w:t>
      </w:r>
      <w:r w:rsidRPr="00B950C8">
        <w:rPr>
          <w:rFonts w:ascii="Times New Roman" w:hAnsi="Times New Roman" w:cs="Times New Roman"/>
          <w:sz w:val="24"/>
          <w:szCs w:val="24"/>
        </w:rPr>
        <w:fldChar w:fldCharType="end"/>
      </w:r>
    </w:p>
  </w:endnote>
  <w:endnote w:id="52">
    <w:p w14:paraId="709A51FB" w14:textId="51CF9225" w:rsidR="00271224" w:rsidRPr="00B950C8" w:rsidRDefault="00271224"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See </w:t>
      </w:r>
      <w:r w:rsidRPr="00B950C8">
        <w:rPr>
          <w:rFonts w:ascii="Times New Roman" w:hAnsi="Times New Roman" w:cs="Times New Roman"/>
          <w:sz w:val="24"/>
          <w:szCs w:val="24"/>
        </w:rPr>
        <w:fldChar w:fldCharType="begin" w:fldLock="1"/>
      </w:r>
      <w:r w:rsidR="00333F63" w:rsidRPr="00B950C8">
        <w:rPr>
          <w:rFonts w:ascii="Times New Roman" w:hAnsi="Times New Roman" w:cs="Times New Roman"/>
          <w:sz w:val="24"/>
          <w:szCs w:val="24"/>
        </w:rPr>
        <w:instrText>ADDIN CSL_CITATION {"citationItems":[{"id":"ITEM-1","itemData":{"author":[{"dropping-particle":"","family":"Toswell","given":"M. J.","non-dropping-particle":"","parse-names":false,"suffix":""}],"container-title":"Studies in Medievalism","id":"ITEM-1","issued":{"date-parts":[["2010"]]},"page":"44-55","title":"The Simulacrum of Neomedievalism","type":"article-journal","volume":"19"},"uris":["http://www.mendeley.com/documents/?uuid=c9031b34-4e62-41cf-a15c-cb1024cf00cd"]}],"mendeley":{"formattedCitation":"M. J. Toswell, “The Simulacrum of Neomedievalism,” &lt;i&gt;Studies in Medievalism&lt;/i&gt; 19 (2010): 44–55.","plainTextFormattedCitation":"M. J. Toswell, “The Simulacrum of Neomedievalism,” Studies in Medievalism 19 (2010): 44–55.","previouslyFormattedCitation":"M. J. Toswell, “The Simulacrum of Neomedievalism,” &lt;i&gt;Studies in Medievalism&lt;/i&gt; 19 (2010): 44–55."},"properties":{"noteIndex":0},"schema":"https://github.com/citation-style-language/schema/raw/master/csl-citation.json"}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M. J. Toswell, “The Simulacrum of Neomedievalism,” </w:t>
      </w:r>
      <w:r w:rsidRPr="00B950C8">
        <w:rPr>
          <w:rFonts w:ascii="Times New Roman" w:hAnsi="Times New Roman" w:cs="Times New Roman"/>
          <w:i/>
          <w:noProof/>
          <w:sz w:val="24"/>
          <w:szCs w:val="24"/>
        </w:rPr>
        <w:t>Studies in Medievalism</w:t>
      </w:r>
      <w:r w:rsidRPr="00B950C8">
        <w:rPr>
          <w:rFonts w:ascii="Times New Roman" w:hAnsi="Times New Roman" w:cs="Times New Roman"/>
          <w:noProof/>
          <w:sz w:val="24"/>
          <w:szCs w:val="24"/>
        </w:rPr>
        <w:t xml:space="preserve"> 19 (2010): 44–55.</w:t>
      </w:r>
      <w:r w:rsidRPr="00B950C8">
        <w:rPr>
          <w:rFonts w:ascii="Times New Roman" w:hAnsi="Times New Roman" w:cs="Times New Roman"/>
          <w:sz w:val="24"/>
          <w:szCs w:val="24"/>
        </w:rPr>
        <w:fldChar w:fldCharType="end"/>
      </w:r>
    </w:p>
  </w:endnote>
  <w:endnote w:id="53">
    <w:p w14:paraId="24F25C52" w14:textId="22672482"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For example as discussed in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{"citationItems":[{"id":"ITEM-1","itemData":{"author":[{"dropping-particle":"","family":"Davis","given":"Kathleen","non-dropping-particle":"","parse-names":false,"suffix":""}],"id":"ITEM-1","issued":{"date-parts":[["2008"]]},"publisher":"University of Pennsylvania Press","publisher-place":"Philadelphia","title":"Periodization and sovereignty : how ideas of feudalism and secularization govern the politics of time","type":"book"},"uris":["http://www.mendeley.com/documents/?uuid=a77a4e62-dda0-4002-bc3a-a3eaa8dfd973"]}],"mendeley":{"formattedCitation":"Davis, &lt;i&gt;Periodization and Sovereignty : How Ideas of Feudalism and Secularization Govern the Politics of Time&lt;/i&gt;.","plainTextFormattedCitation":"Davis, Periodization and Sovereignty : How Ideas of Feudalism and Secularization Govern the Politics of Time.","previouslyFormattedCitation":"Davis, &lt;i&gt;Periodization and Sovereignty : How Ideas of Feudalism and Secularization Govern the Politics of Time&lt;/i&gt;."},"properties":{"noteIndex":0},"schema":"https://github.com/citation-style-language/schema/raw/master/csl-citation.json"}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Davis, </w:t>
      </w:r>
      <w:r w:rsidRPr="00B950C8">
        <w:rPr>
          <w:rFonts w:ascii="Times New Roman" w:hAnsi="Times New Roman" w:cs="Times New Roman"/>
          <w:i/>
          <w:noProof/>
          <w:sz w:val="24"/>
          <w:szCs w:val="24"/>
        </w:rPr>
        <w:t>Periodization and Sovereignty : How Ideas of Feudalism and Secularization Govern the Politics of Time</w:t>
      </w:r>
      <w:r w:rsidRPr="00B950C8">
        <w:rPr>
          <w:rFonts w:ascii="Times New Roman" w:hAnsi="Times New Roman" w:cs="Times New Roman"/>
          <w:noProof/>
          <w:sz w:val="24"/>
          <w:szCs w:val="24"/>
        </w:rPr>
        <w:t>.</w:t>
      </w:r>
      <w:r w:rsidRPr="00B950C8">
        <w:rPr>
          <w:rFonts w:ascii="Times New Roman" w:hAnsi="Times New Roman" w:cs="Times New Roman"/>
          <w:sz w:val="24"/>
          <w:szCs w:val="24"/>
        </w:rPr>
        <w:fldChar w:fldCharType="end"/>
      </w:r>
    </w:p>
  </w:endnote>
  <w:endnote w:id="54">
    <w:p w14:paraId="44229126" w14:textId="34C9E439" w:rsidR="00271224" w:rsidRPr="00B950C8" w:rsidRDefault="00271224"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Brennan","given":"Sean","non-dropping-particle":"","parse-names":false,"suffix":""},{"dropping-particle":"","family":"Gunn","given":"Brenda","non-dropping-particle":"","parse-names":false,"suffix":""},{"dropping-particle":"","family":"William","given":"Goerge","non-dropping-particle":"","parse-names":false,"suffix":""}],"container-title":"Sydney Law Review","id":"ITEM-1","issue":"3","issued":{"date-parts":[["2004"]]},"title":"\"Sovereignty' and its Relevance to Treaty-Making Between Indigenous Peoples and Australian Governments","type":"article-journal","volume":"26"},"uris":["http://www.mendeley.com/documents/?uuid=0b49c774-3cf0-4d09-a4cc-cbe8174688e6"]}],"mendeley":{"formattedCitation":"Sean Brennan, Brenda Gunn, and Goerge William, “‘Sovereignty’’ and Its Relevance to Treaty-Making Between Indigenous Peoples and Australian Governments,’” &lt;i&gt;Sydney Law Review&lt;/i&gt; 26, no. 3 (2004), http://classic.austlii.edu.au/au/journals/SydLawRw/2004/15.html#Heading153.","plainTextFormattedCitation":"Sean Brennan, Brenda Gunn, and Goerge William, “‘Sovereignty’’ and Its Relevance to Treaty-Making Between Indigenous Peoples and Australian Governments,’” Sydney Law Review 26, no. 3 (2004), http://classic.austlii.edu.au/au/journals/SydLawRw/2004/15.html#Heading153.","previouslyFormattedCitation":"Sean Brennan, Brenda Gunn, and Goerge William, “‘Sovereignty’’ and Its Relevance to Treaty-Making Between Indigenous Peoples and Australian Governments,’” &lt;i&gt;Sydney Law Review&lt;/i&gt; 26, no. 3 (2004), http://classic.austlii.edu.au/au/journals/SydLawRw/2004/15.html#Heading153."},"properties":{"noteIndex":0},"schema":"https://github.com/citation-style-language/schema/raw/master/csl-citation.json"}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Sean Brennan, Brenda Gunn, and Goerge William, “‘Sovereignty’’ and Its Relevance to Treaty-Making Between Indigenous Peoples and Australian Governments,’” </w:t>
      </w:r>
      <w:r w:rsidRPr="00B950C8">
        <w:rPr>
          <w:rFonts w:ascii="Times New Roman" w:hAnsi="Times New Roman" w:cs="Times New Roman"/>
          <w:i/>
          <w:noProof/>
          <w:sz w:val="24"/>
          <w:szCs w:val="24"/>
        </w:rPr>
        <w:t>Sydney Law Review</w:t>
      </w:r>
      <w:r w:rsidRPr="00B950C8">
        <w:rPr>
          <w:rFonts w:ascii="Times New Roman" w:hAnsi="Times New Roman" w:cs="Times New Roman"/>
          <w:noProof/>
          <w:sz w:val="24"/>
          <w:szCs w:val="24"/>
        </w:rPr>
        <w:t xml:space="preserve"> 26, no. 3 (2004), http://classic.austlii.edu.au/au/journals/SydLawRw/2004/15.html#Heading153.</w:t>
      </w:r>
      <w:r w:rsidRPr="00B950C8">
        <w:rPr>
          <w:rFonts w:ascii="Times New Roman" w:hAnsi="Times New Roman" w:cs="Times New Roman"/>
          <w:sz w:val="24"/>
          <w:szCs w:val="24"/>
        </w:rPr>
        <w:fldChar w:fldCharType="end"/>
      </w:r>
      <w:r w:rsidR="00333F63" w:rsidRPr="00B950C8">
        <w:rPr>
          <w:rFonts w:ascii="Times New Roman" w:hAnsi="Times New Roman" w:cs="Times New Roman"/>
          <w:sz w:val="24"/>
          <w:szCs w:val="24"/>
        </w:rPr>
        <w:t xml:space="preserve"> It is important to note here that treaties have not served to protect Indigenous sovereignty in those settler colonial nations (or others), and that treaty language often settler colonial needs. See, for example, </w:t>
      </w:r>
      <w:r w:rsidR="00333F63" w:rsidRPr="00B950C8">
        <w:rPr>
          <w:rFonts w:ascii="Times New Roman" w:hAnsi="Times New Roman" w:cs="Times New Roman"/>
          <w:sz w:val="24"/>
          <w:szCs w:val="24"/>
        </w:rPr>
        <w:fldChar w:fldCharType="begin" w:fldLock="1"/>
      </w:r>
      <w:r w:rsidR="00C96FF4" w:rsidRPr="00B950C8">
        <w:rPr>
          <w:rFonts w:ascii="Times New Roman" w:hAnsi="Times New Roman" w:cs="Times New Roman"/>
          <w:sz w:val="24"/>
          <w:szCs w:val="24"/>
        </w:rPr>
        <w:instrText>ADDIN CSL_CITATION {"citationItems":[{"id":"ITEM-1","itemData":{"author":[{"dropping-particle":"","family":"Coulthard","given":"Glen Sean","non-dropping-particle":"","parse-names":false,"suffix":""}],"id":"ITEM-1","issued":{"date-parts":[["2014"]]},"publisher":"University of Minnesota Press","publisher-place":"Minneapolis","title":"Red Skin, White Masks: Rejecting the Colonial Politics of Recognition","type":"book"},"uris":["http://www.mendeley.com/documents/?uuid=4272d428-6646-4483-8688-0ceba08d56a5"]}],"mendeley":{"formattedCitation":"Glen Sean Coulthard, &lt;i&gt;Red Skin, White Masks: Rejecting the Colonial Politics of Recognition&lt;/i&gt; (Minneapolis: University of Minnesota Press, 2014).","plainTextFormattedCitation":"Glen Sean Coulthard, Red Skin, White Masks: Rejecting the Colonial Politics of Recognition (Minneapolis: University of Minnesota Press, 2014).","previouslyFormattedCitation":"Glen Sean Coulthard, &lt;i&gt;Red Skin, White Masks: Rejecting the Colonial Politics of Recognition&lt;/i&gt; (Minneapolis: University of Minnesota Press, 2014)."},"properties":{"noteIndex":0},"schema":"https://github.com/citation-style-language/schema/raw/master/csl-citation.json"}</w:instrText>
      </w:r>
      <w:r w:rsidR="00333F63" w:rsidRPr="00B950C8">
        <w:rPr>
          <w:rFonts w:ascii="Times New Roman" w:hAnsi="Times New Roman" w:cs="Times New Roman"/>
          <w:sz w:val="24"/>
          <w:szCs w:val="24"/>
        </w:rPr>
        <w:fldChar w:fldCharType="separate"/>
      </w:r>
      <w:r w:rsidR="00333F63" w:rsidRPr="00B950C8">
        <w:rPr>
          <w:rFonts w:ascii="Times New Roman" w:hAnsi="Times New Roman" w:cs="Times New Roman"/>
          <w:noProof/>
          <w:sz w:val="24"/>
          <w:szCs w:val="24"/>
        </w:rPr>
        <w:t xml:space="preserve">Glen Sean Coulthard, </w:t>
      </w:r>
      <w:r w:rsidR="00333F63" w:rsidRPr="00B950C8">
        <w:rPr>
          <w:rFonts w:ascii="Times New Roman" w:hAnsi="Times New Roman" w:cs="Times New Roman"/>
          <w:i/>
          <w:noProof/>
          <w:sz w:val="24"/>
          <w:szCs w:val="24"/>
        </w:rPr>
        <w:t>Red Skin, White Masks: Rejecting the Colonial Politics of Recognition</w:t>
      </w:r>
      <w:r w:rsidR="00333F63" w:rsidRPr="00B950C8">
        <w:rPr>
          <w:rFonts w:ascii="Times New Roman" w:hAnsi="Times New Roman" w:cs="Times New Roman"/>
          <w:noProof/>
          <w:sz w:val="24"/>
          <w:szCs w:val="24"/>
        </w:rPr>
        <w:t xml:space="preserve"> (Minneapolis: University of Minnesota Press, 2014).</w:t>
      </w:r>
      <w:r w:rsidR="00333F63" w:rsidRPr="00B950C8">
        <w:rPr>
          <w:rFonts w:ascii="Times New Roman" w:hAnsi="Times New Roman" w:cs="Times New Roman"/>
          <w:sz w:val="24"/>
          <w:szCs w:val="24"/>
        </w:rPr>
        <w:fldChar w:fldCharType="end"/>
      </w:r>
    </w:p>
  </w:endnote>
  <w:endnote w:id="55">
    <w:p w14:paraId="0344F259" w14:textId="173580AA"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{"citationItems":[{"id":"ITEM-1","itemData":{"author":[{"dropping-particle":"","family":"Tuhiwai Smith","given":"Linda","non-dropping-particle":"","parse-names":false,"suffix":""}],"edition":"2nd","id":"ITEM-1","issued":{"date-parts":[["2012"]]},"publisher":"Zed Books","publisher-place":"London and New York","title":"Decolonizing Methodologies: Research and Indigenous Peoples","type":"book"},"locator":"102","uris":["http://www.mendeley.com/documents/?uuid=868d3010-a235-40e9-aecc-d73c47805f95"]}],"mendeley":{"formattedCitation":"Tuhiwai Smith, &lt;i&gt;Decolonizing Methodologies: Research and Indigenous Peoples&lt;/i&gt;, 102.","plainTextFormattedCitation":"Tuhiwai Smith, Decolonizing Methodologies: Research and Indigenous Peoples, 102.","previouslyFormattedCitation":"Tuhiwai Smith, &lt;i&gt;Decolonizing Methodologies: Research and Indigenous Peoples&lt;/i&gt;, 102."},"properties":{"noteIndex":0},"schema":"https://github.com/citation-style-language/schema/raw/master/csl-citation.json"}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Tuhiwai Smith, </w:t>
      </w:r>
      <w:r w:rsidRPr="00B950C8">
        <w:rPr>
          <w:rFonts w:ascii="Times New Roman" w:hAnsi="Times New Roman" w:cs="Times New Roman"/>
          <w:i/>
          <w:noProof/>
          <w:sz w:val="24"/>
          <w:szCs w:val="24"/>
        </w:rPr>
        <w:t>Decolonizing Methodologies: Research and Indigenous Peoples</w:t>
      </w:r>
      <w:r w:rsidRPr="00B950C8">
        <w:rPr>
          <w:rFonts w:ascii="Times New Roman" w:hAnsi="Times New Roman" w:cs="Times New Roman"/>
          <w:noProof/>
          <w:sz w:val="24"/>
          <w:szCs w:val="24"/>
        </w:rPr>
        <w:t>, 102.</w:t>
      </w:r>
      <w:r w:rsidRPr="00B950C8">
        <w:rPr>
          <w:rFonts w:ascii="Times New Roman" w:hAnsi="Times New Roman" w:cs="Times New Roman"/>
          <w:sz w:val="24"/>
          <w:szCs w:val="24"/>
        </w:rPr>
        <w:fldChar w:fldCharType="end"/>
      </w:r>
    </w:p>
  </w:endnote>
  <w:endnote w:id="56">
    <w:p w14:paraId="1A674A9F" w14:textId="5E2D7BDE"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{"citationItems":[{"id":"ITEM-1","itemData":{"author":[{"dropping-particle":"","family":"Pearson","given":"Noel","non-dropping-particle":"","parse-names":false,"suffix":""}],"container-title":"Australian Humanities Review","id":"ITEM-1","issue":"March","issued":{"date-parts":[["1997"]]},"title":"The Concept of Native Title at Common Law","type":"article-journal","volume":"5"},"uris":["http://www.mendeley.com/documents/?uuid=94afc9cf-157d-3667-9061-8427422c512a"]}],"mendeley":{"formattedCitation":"Noel Pearson, “The Concept of Native Title at Common Law,” &lt;i&gt;Australian Humanities Review&lt;/i&gt; 5, no. March (1997), http://australianhumanitiesreview.org/1997/03/01/the-concept-of-native-title-at-common-law/.","plainTextFormattedCitation":"Noel Pearson, “The Concept of Native Title at Common Law,” Australian Humanities Review 5, no. March (1997), http://australianhumanitiesreview.org/1997/03/01/the-concept-of-native-title-at-common-law/.","previouslyFormattedCitation":"Noel Pearson, “The Concept of Native Title at Common Law,” &lt;i&gt;Australian Humanities Review&lt;/i&gt; 5, no. March (1997), http://australianhumanitiesreview.org/1997/03/01/the-concept-of-native-title-at-common-law/."},"properties":{"noteIndex":0},"schema":"https://github.com/citation-style-language/schema/raw/master/csl-citation.json"}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Noel Pearson, “The Concept of Native Title at Common Law,” </w:t>
      </w:r>
      <w:r w:rsidRPr="00B950C8">
        <w:rPr>
          <w:rFonts w:ascii="Times New Roman" w:hAnsi="Times New Roman" w:cs="Times New Roman"/>
          <w:i/>
          <w:noProof/>
          <w:sz w:val="24"/>
          <w:szCs w:val="24"/>
        </w:rPr>
        <w:t>Australian Humanities Review</w:t>
      </w:r>
      <w:r w:rsidRPr="00B950C8">
        <w:rPr>
          <w:rFonts w:ascii="Times New Roman" w:hAnsi="Times New Roman" w:cs="Times New Roman"/>
          <w:noProof/>
          <w:sz w:val="24"/>
          <w:szCs w:val="24"/>
        </w:rPr>
        <w:t xml:space="preserve"> 5, no. March (1997), http://australianhumanitiesreview.org/1997/03/01/the-concept-of-native-title-at-common-law/.</w:t>
      </w:r>
      <w:r w:rsidRPr="00B950C8">
        <w:rPr>
          <w:rFonts w:ascii="Times New Roman" w:hAnsi="Times New Roman" w:cs="Times New Roman"/>
          <w:sz w:val="24"/>
          <w:szCs w:val="24"/>
        </w:rPr>
        <w:fldChar w:fldCharType="end"/>
      </w:r>
    </w:p>
  </w:endnote>
  <w:endnote w:id="57">
    <w:p w14:paraId="2880343B" w14:textId="6E292E15"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URL":"http://www.mabonativetitle.com/tn_12.shtml","accessed":{"date-parts":[["2019","8","28"]]},"author":[{"dropping-particle":"","family":"Graham","given":"Trevor","non-dropping-particle":"","parse-names":false,"suffix":""},{"dropping-particle":"","family":"Wellington","given":"Rob","non-dropping-particle":"","parse-names":false,"suffix":""},{"dropping-particle":"","family":"Pozzan","given":"Cristina","non-dropping-particle":"","parse-names":false,"suffix":""}],"container-title":"Mabo: the Native Title Revolution","id":"ITEM-1","issued":{"date-parts":[["2000"]]},"title":"The Common Law","type":"webpage"},"uris":["http://www.mendeley.com/documents/?uuid=c3f39c94-9e54-49c6-94f5-5ae6400b43ef"]}],"mendeley":{"formattedCitation":"Trevor Graham, Rob Wellington, and Cristina Pozzan, “The Common Law,” Mabo: the Native Title Revolution, 2000, http://www.mabonativetitle.com/tn_12.shtml.","plainTextFormattedCitation":"Trevor Graham, Rob Wellington, and Cristina Pozzan, “The Common Law,” Mabo: the Native Title Revolution, 2000, http://www.mabonativetitle.com/tn_12.shtml.","previouslyFormattedCitation":"Trevor Graham, Rob Wellington, and Cristina Pozzan, “The Common Law,” Mabo: the Native Title Revolution, 2000, http://www.mabonativetitle.com/tn_12.shtml."},"properties":{"noteIndex":0},"schema":"https://github.com/citation-style-language/schema/raw/master/csl-citation.json"}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Trevor Graham, Rob Wellington, and Cristina Pozzan, “The Common Law,” Mabo: the Native Title Revolution, 2000, http://www.mabonativetitle.com/tn_12.shtml.</w:t>
      </w:r>
      <w:r w:rsidRPr="00B950C8">
        <w:rPr>
          <w:rFonts w:ascii="Times New Roman" w:hAnsi="Times New Roman" w:cs="Times New Roman"/>
          <w:sz w:val="24"/>
          <w:szCs w:val="24"/>
        </w:rPr>
        <w:fldChar w:fldCharType="end"/>
      </w:r>
    </w:p>
  </w:endnote>
  <w:endnote w:id="58">
    <w:p w14:paraId="433F00A9" w14:textId="084ADC8A"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{"citationItems":[{"id":"ITEM-1","itemData":{"author":[{"dropping-particle":"","family":"Northern Territory Law Reform Committee","given":"","non-dropping-particle":"","parse-names":false,"suffix":""}],"id":"ITEM-1","issued":{"date-parts":[["2003"]]},"publisher-place":"Darwin","title":"Background Paper 2: The recognition of Aboriginal law as law","type":"report"},"locator":"1","uris":["http://www.mendeley.com/documents/?uuid=170a36b2-7877-4010-a078-663e1d3210af"]}],"mendeley":{"formattedCitation":"Northern Territory Law Reform Committee, “Background Paper 2: The Recognition of Aboriginal Law as Law” (Darwin, 2003), 1.","plainTextFormattedCitation":"Northern Territory Law Reform Committee, “Background Paper 2: The Recognition of Aboriginal Law as Law” (Darwin, 2003), 1.","previouslyFormattedCitation":"Northern Territory Law Reform Committee, “Background Paper 2: The Recognition of Aboriginal Law as Law” (Darwin, 2003), 1."},"properties":{"noteIndex":0},"schema":"https://github.com/citation-style-language/schema/raw/master/csl-citation.json"}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Northern Territory Law Reform Committee, “Background Paper 2: The Recognition of Aboriginal Law as Law” (Darwin, 2003), 1.</w:t>
      </w:r>
      <w:r w:rsidRPr="00B950C8">
        <w:rPr>
          <w:rFonts w:ascii="Times New Roman" w:hAnsi="Times New Roman" w:cs="Times New Roman"/>
          <w:sz w:val="24"/>
          <w:szCs w:val="24"/>
        </w:rPr>
        <w:fldChar w:fldCharType="end"/>
      </w:r>
    </w:p>
  </w:endnote>
  <w:endnote w:id="59">
    <w:p w14:paraId="48910635" w14:textId="30FE45F4"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For another example, see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{"citationItems":[{"id":"ITEM-1","itemData":{"author":[{"dropping-particle":"","family":"Kelly","given":"Justice Judith","non-dropping-particle":"","parse-names":false,"suffix":""}],"container-title":"NTBA Conference 2014 in Association with the School of Law, CDU","id":"ITEM-1","issued":{"date-parts":[["2014"]]},"page":"1-25","title":"The intersection of Aboriginal customary law with the NT criminal justice system: the road not taken ?","type":"paper-conference"},"uris":["http://www.mendeley.com/documents/?uuid=59356e80-a040-4d16-9889-60d4dab7e1a3"]}],"mendeley":{"formattedCitation":"Justice Judith Kelly, “The Intersection of Aboriginal Customary Law with the NT Criminal Justice System: The Road Not Taken ?,” in &lt;i&gt;NTBA Conference 2014 in Association with the School of Law, CDU&lt;/i&gt;, 2014, 1–25.","plainTextFormattedCitation":"Justice Judith Kelly, “The Intersection of Aboriginal Customary Law with the NT Criminal Justice System: The Road Not Taken ?,” in NTBA Conference 2014 in Association with the School of Law, CDU, 2014, 1–25.","previouslyFormattedCitation":"Justice Judith Kelly, “The Intersection of Aboriginal Customary Law with the NT Criminal Justice System: The Road Not Taken ?,” in &lt;i&gt;NTBA Conference 2014 in Association with the School of Law, CDU&lt;/i&gt;, 2014, 1–25."},"properties":{"noteIndex":0},"schema":"https://github.com/citation-style-language/schema/raw/master/csl-citation.json"}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Justice Judith Kelly, “The Intersection of Aboriginal Customary Law with the NT Criminal Justice System: The Road Not Taken ?,” in </w:t>
      </w:r>
      <w:r w:rsidRPr="00B950C8">
        <w:rPr>
          <w:rFonts w:ascii="Times New Roman" w:hAnsi="Times New Roman" w:cs="Times New Roman"/>
          <w:i/>
          <w:noProof/>
          <w:sz w:val="24"/>
          <w:szCs w:val="24"/>
        </w:rPr>
        <w:t>NTBA Conference 2014 in Association with the School of Law, CDU</w:t>
      </w:r>
      <w:r w:rsidRPr="00B950C8">
        <w:rPr>
          <w:rFonts w:ascii="Times New Roman" w:hAnsi="Times New Roman" w:cs="Times New Roman"/>
          <w:noProof/>
          <w:sz w:val="24"/>
          <w:szCs w:val="24"/>
        </w:rPr>
        <w:t>, 2014, 1–25.</w:t>
      </w:r>
      <w:r w:rsidRPr="00B950C8">
        <w:rPr>
          <w:rFonts w:ascii="Times New Roman" w:hAnsi="Times New Roman" w:cs="Times New Roman"/>
          <w:sz w:val="24"/>
          <w:szCs w:val="24"/>
        </w:rPr>
        <w:fldChar w:fldCharType="end"/>
      </w:r>
    </w:p>
  </w:endnote>
  <w:endnote w:id="60">
    <w:p w14:paraId="7F3386CD" w14:textId="4C17648B"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{"citationItems":[{"id":"ITEM-1","itemData":{"author":[{"dropping-particle":"","family":"Rabasa","given":"José","non-dropping-particle":"","parse-names":false,"suffix":""}],"container-title":"Medievalisms in the Postcolonial World: the Idea of 'the Middle Ages' Outside Europe","editor":[{"dropping-particle":"","family":"Davis","given":"Kathleen","non-dropping-particle":"","parse-names":false,"suffix":""},{"dropping-particle":"","family":"Altschul","given":"Nadia R.","non-dropping-particle":"","parse-names":false,"suffix":""}],"id":"ITEM-1","issued":{"date-parts":[["2009"]]},"page":"27-50","publisher":"Johns Hopkins University Press","publisher-place":"Baltimore","title":"Decolonizing Mediveal Mexico","type":"chapter"},"locator":"29","uris":["http://www.mendeley.com/documents/?uuid=a9d6cd64-2e9c-401d-ae81-3cd78eabd537"]}],"mendeley":{"formattedCitation":"José Rabasa, “Decolonizing Mediveal Mexico,” in &lt;i&gt;Medievalisms in the Postcolonial World: The Idea of “the Middle Ages” Outside Europe&lt;/i&gt;, ed. Kathleen Davis and Nadia R. Altschul (Baltimore: Johns Hopkins University Press, 2009), 29.","plainTextFormattedCitation":"José Rabasa, “Decolonizing Mediveal Mexico,” in Medievalisms in the Postcolonial World: The Idea of “the Middle Ages” Outside Europe, ed. Kathleen Davis and Nadia R. Altschul (Baltimore: Johns Hopkins University Press, 2009), 29.","previouslyFormattedCitation":"José Rabasa, “Decolonizing Mediveal Mexico,” in &lt;i&gt;Medievalisms in the Postcolonial World: The Idea of “the Middle Ages” Outside Europe&lt;/i&gt;, ed. Kathleen Davis and Nadia R. Altschul (Baltimore: Johns Hopkins University Press, 2009), 29."},"properties":{"noteIndex":0},"schema":"https://github.com/citation-style-language/schema/raw/master/csl-citation.json"}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José Rabasa, “Decolonizing Mediveal Mexico,” in </w:t>
      </w:r>
      <w:r w:rsidRPr="00B950C8">
        <w:rPr>
          <w:rFonts w:ascii="Times New Roman" w:hAnsi="Times New Roman" w:cs="Times New Roman"/>
          <w:i/>
          <w:noProof/>
          <w:sz w:val="24"/>
          <w:szCs w:val="24"/>
        </w:rPr>
        <w:t>Medievalisms in the Postcolonial World: The Idea of “the Middle Ages” Outside Europe</w:t>
      </w:r>
      <w:r w:rsidRPr="00B950C8">
        <w:rPr>
          <w:rFonts w:ascii="Times New Roman" w:hAnsi="Times New Roman" w:cs="Times New Roman"/>
          <w:noProof/>
          <w:sz w:val="24"/>
          <w:szCs w:val="24"/>
        </w:rPr>
        <w:t>, ed. Kathleen Davis and Nadia R. Altschul (Baltimore: Johns Hopkins University Press, 2009), 29.</w:t>
      </w:r>
      <w:r w:rsidRPr="00B950C8">
        <w:rPr>
          <w:rFonts w:ascii="Times New Roman" w:hAnsi="Times New Roman" w:cs="Times New Roman"/>
          <w:sz w:val="24"/>
          <w:szCs w:val="24"/>
        </w:rPr>
        <w:fldChar w:fldCharType="end"/>
      </w:r>
    </w:p>
  </w:endnote>
  <w:endnote w:id="61">
    <w:p w14:paraId="76C76BD8" w14:textId="0C321C73"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{"citationItems":[{"id":"ITEM-1","itemData":{"DOI":"10.1111/taja.12122","ISSN":"17576547","abstract":"Time is one mechanism through which Indigenous‐modern dichotomies are created and maintained and an enduring trope of difference in the settler‐colonial imaginary. This article explores the strange temporality of indigeneity within ‘progressive’ discourses in Australia. Taking Johannes Fabian's concept of ‘allochronism’ as a point of departure, and drawing on ethnography of non‐Indigenous people working in Indigenous health in the Northern Territory, I show how there is a kind of cultural Lamarckianism in operation. ‘Western’ individuals are seen to inherit the cumulative cultural knowledge, acquired over centuries, of germ theory and responsible alcohol consumption. By contrast, Indigenous people are seen to struggle with banking and infectious diseases because they have not had sufficient time to develop the appropriate cultural knowledge. Through the anthropomorphising of culture and the culturalisation of individuals, the Indigenous person/culture becomes the 40,000‐year history of human occupation of the continent. I point to the limits of this settler‐colonial imaginary and potential alternatives.","author":[{"dropping-particle":"","family":"Kowal","given":"Emma","non-dropping-particle":"","parse-names":false,"suffix":""}],"container-title":"Australian Journal of Anthropology","id":"ITEM-1","issue":"1","issued":{"date-parts":[["2015"]]},"page":"94-111","title":"Time, indigeneity and white anti-racism in Australia","type":"article-journal","volume":"26"},"locator":"95","uris":["http://www.mendeley.com/documents/?uuid=f21253ac-fb00-4168-89e1-f02daeaef2ac"]}],"mendeley":{"formattedCitation":"Kowal, “Time, Indigeneity and White Anti-Racism in Australia,” 95.","plainTextFormattedCitation":"Kowal, “Time, Indigeneity and White Anti-Racism in Australia,” 95.","previouslyFormattedCitation":"Kowal, “Time, Indigeneity and White Anti-Racism in Australia,” 95."},"properties":{"noteIndex":0},"schema":"https://github.com/citation-style-language/schema/raw/master/csl-citation.json"}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Kowal, “Time, Indigeneity and White Anti-Racism in Australia,” 95.</w:t>
      </w:r>
      <w:r w:rsidRPr="00B950C8">
        <w:rPr>
          <w:rFonts w:ascii="Times New Roman" w:hAnsi="Times New Roman" w:cs="Times New Roman"/>
          <w:sz w:val="24"/>
          <w:szCs w:val="24"/>
        </w:rPr>
        <w:fldChar w:fldCharType="end"/>
      </w:r>
    </w:p>
  </w:endnote>
  <w:endnote w:id="62">
    <w:p w14:paraId="500C26D9" w14:textId="7B935762" w:rsidR="00665409" w:rsidRPr="00B950C8" w:rsidRDefault="00665409"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0074492D" w:rsidRPr="00B950C8">
        <w:rPr>
          <w:rFonts w:ascii="Times New Roman" w:hAnsi="Times New Roman" w:cs="Times New Roman"/>
          <w:sz w:val="24"/>
          <w:szCs w:val="24"/>
        </w:rPr>
        <w:instrText>ADDIN CSL_CITATION {"citationItems":[{"id":"ITEM-1","itemData":{"author":[{"dropping-particle":"","family":"Mead","given":"Jenna","non-dropping-particle":"","parse-names":false,"suffix":""}],"container-title":"The Global South and Literature","editor":[{"dropping-particle":"","family":"West-Pavlov","given":"Russell","non-dropping-particle":"","parse-names":false,"suffix":""}],"id":"ITEM-1","issued":{"date-parts":[["2018"]]},"page":"264-306","publisher":"Cambridge University Press","publisher-place":"Camrbidge","title":"Medievalism on Country","type":"chapter"},"locator":"297","uris":["http://www.mendeley.com/documents/?uuid=604840db-3d76-487f-b285-27cc8dc32f52"]}],"mendeley":{"formattedCitation":"Jenna Mead, “Medievalism on Country,” in &lt;i&gt;The Global South and Literature&lt;/i&gt;, ed. Russell West-Pavlov (Camrbidge: Cambridge University Press, 2018), 297.","plainTextFormattedCitation":"Jenna Mead, “Medievalism on Country,” in The Global South and Literature, ed. Russell West-Pavlov (Camrbidge: Cambridge University Press, 2018), 297.","previouslyFormattedCitation":"Jenna Mead, “Medievalism on Country,” in &lt;i&gt;The Global South and Literature&lt;/i&gt;, ed. Russell West-Pavlov (Camrbidge: Cambridge University Press, 2018), 297."},"properties":{"noteIndex":0},"schema":"https://github.com/citation-style-language/schema/raw/master/csl-citation.json"}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Jenna Mead, “Medievalism on Country,” in </w:t>
      </w:r>
      <w:r w:rsidRPr="00B950C8">
        <w:rPr>
          <w:rFonts w:ascii="Times New Roman" w:hAnsi="Times New Roman" w:cs="Times New Roman"/>
          <w:i/>
          <w:noProof/>
          <w:sz w:val="24"/>
          <w:szCs w:val="24"/>
        </w:rPr>
        <w:t>The Global South and Literature</w:t>
      </w:r>
      <w:r w:rsidRPr="00B950C8">
        <w:rPr>
          <w:rFonts w:ascii="Times New Roman" w:hAnsi="Times New Roman" w:cs="Times New Roman"/>
          <w:noProof/>
          <w:sz w:val="24"/>
          <w:szCs w:val="24"/>
        </w:rPr>
        <w:t>, ed. Russell West-Pavlov (Camrbidge: Cambridge University Press, 2018), 297.</w:t>
      </w:r>
      <w:r w:rsidRPr="00B950C8">
        <w:rPr>
          <w:rFonts w:ascii="Times New Roman" w:hAnsi="Times New Roman" w:cs="Times New Roman"/>
          <w:sz w:val="24"/>
          <w:szCs w:val="24"/>
        </w:rPr>
        <w:fldChar w:fldCharType="end"/>
      </w:r>
    </w:p>
  </w:endnote>
  <w:endnote w:id="63">
    <w:p w14:paraId="75448EA7" w14:textId="72C23CC4" w:rsidR="00C96FF4" w:rsidRPr="00B950C8" w:rsidRDefault="00C96FF4"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Mead notes the medievalism in the overturning of </w:t>
      </w:r>
      <w:r w:rsidRPr="00B950C8">
        <w:rPr>
          <w:rFonts w:ascii="Times New Roman" w:hAnsi="Times New Roman" w:cs="Times New Roman"/>
          <w:i/>
          <w:sz w:val="24"/>
          <w:szCs w:val="24"/>
        </w:rPr>
        <w:t xml:space="preserve">terra nullius </w:t>
      </w:r>
      <w:r w:rsidR="00665409" w:rsidRPr="00B950C8">
        <w:rPr>
          <w:rFonts w:ascii="Times New Roman" w:hAnsi="Times New Roman" w:cs="Times New Roman"/>
          <w:sz w:val="24"/>
          <w:szCs w:val="24"/>
        </w:rPr>
        <w:t xml:space="preserve">in </w:t>
      </w:r>
      <w:r w:rsidR="00665409" w:rsidRPr="00B950C8">
        <w:rPr>
          <w:rFonts w:ascii="Times New Roman" w:hAnsi="Times New Roman" w:cs="Times New Roman"/>
          <w:i/>
          <w:sz w:val="24"/>
          <w:szCs w:val="24"/>
        </w:rPr>
        <w:t xml:space="preserve">Mabo </w:t>
      </w:r>
      <w:r w:rsidR="00665409" w:rsidRPr="00B950C8">
        <w:rPr>
          <w:rFonts w:ascii="Times New Roman" w:hAnsi="Times New Roman" w:cs="Times New Roman"/>
          <w:sz w:val="24"/>
          <w:szCs w:val="24"/>
        </w:rPr>
        <w:t xml:space="preserve">but does not discuss it at length. </w:t>
      </w:r>
      <w:r w:rsidRPr="00B950C8">
        <w:rPr>
          <w:rFonts w:ascii="Times New Roman" w:hAnsi="Times New Roman" w:cs="Times New Roman"/>
          <w:sz w:val="24"/>
          <w:szCs w:val="24"/>
        </w:rPr>
        <w:fldChar w:fldCharType="begin" w:fldLock="1"/>
      </w:r>
      <w:r w:rsidR="0074492D" w:rsidRPr="00B950C8">
        <w:rPr>
          <w:rFonts w:ascii="Times New Roman" w:hAnsi="Times New Roman" w:cs="Times New Roman"/>
          <w:sz w:val="24"/>
          <w:szCs w:val="24"/>
        </w:rPr>
        <w:instrText>ADDIN CSL_CITATION {"citationItems":[{"id":"ITEM-1","itemData":{"author":[{"dropping-particle":"","family":"Mead","given":"Jenna","non-dropping-particle":"","parse-names":false,"suffix":""}],"container-title":"The Global South and Literature","editor":[{"dropping-particle":"","family":"West-Pavlov","given":"Russell","non-dropping-particle":"","parse-names":false,"suffix":""}],"id":"ITEM-1","issued":{"date-parts":[["2018"]]},"page":"264-306","publisher":"Cambridge University Press","publisher-place":"Camrbidge","title":"Medievalism on Country","type":"chapter"},"locator":"292","uris":["http://www.mendeley.com/documents/?uuid=604840db-3d76-487f-b285-27cc8dc32f52"]}],"mendeley":{"formattedCitation":"Mead, 292.","plainTextFormattedCitation":"Mead, 292.","previouslyFormattedCitation":"Mead, 292."},"properties":{"noteIndex":0},"schema":"https://github.com/citation-style-language/schema/raw/master/csl-citation.json"}</w:instrText>
      </w:r>
      <w:r w:rsidRPr="00B950C8">
        <w:rPr>
          <w:rFonts w:ascii="Times New Roman" w:hAnsi="Times New Roman" w:cs="Times New Roman"/>
          <w:sz w:val="24"/>
          <w:szCs w:val="24"/>
        </w:rPr>
        <w:fldChar w:fldCharType="separate"/>
      </w:r>
      <w:r w:rsidR="00665409" w:rsidRPr="00B950C8">
        <w:rPr>
          <w:rFonts w:ascii="Times New Roman" w:hAnsi="Times New Roman" w:cs="Times New Roman"/>
          <w:noProof/>
          <w:sz w:val="24"/>
          <w:szCs w:val="24"/>
        </w:rPr>
        <w:t>Mead, 292.</w:t>
      </w:r>
      <w:r w:rsidRPr="00B950C8">
        <w:rPr>
          <w:rFonts w:ascii="Times New Roman" w:hAnsi="Times New Roman" w:cs="Times New Roman"/>
          <w:sz w:val="24"/>
          <w:szCs w:val="24"/>
        </w:rPr>
        <w:fldChar w:fldCharType="end"/>
      </w:r>
      <w:r w:rsidRPr="00B950C8">
        <w:rPr>
          <w:rFonts w:ascii="Times New Roman" w:hAnsi="Times New Roman" w:cs="Times New Roman"/>
          <w:sz w:val="24"/>
          <w:szCs w:val="24"/>
        </w:rPr>
        <w:t xml:space="preserve"> </w:t>
      </w:r>
    </w:p>
  </w:endnote>
  <w:endnote w:id="64">
    <w:p w14:paraId="2C075E78" w14:textId="262E8520"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{"citationItems":[{"id":"ITEM-1","itemData":{"author":[{"dropping-particle":"","family":"Tuhiwai Smith","given":"Linda","non-dropping-particle":"","parse-names":false,"suffix":""}],"edition":"2nd","id":"ITEM-1","issued":{"date-parts":[["2012"]]},"publisher":"Zed Books","publisher-place":"London and New York","title":"Decolonizing Methodologies: Research and Indigenous Peoples","type":"book"},"locator":"74","uris":["http://www.mendeley.com/documents/?uuid=868d3010-a235-40e9-aecc-d73c47805f95"]}],"mendeley":{"formattedCitation":"Tuhiwai Smith, &lt;i&gt;Decolonizing Methodologies: Research and Indigenous Peoples&lt;/i&gt;, 74.","plainTextFormattedCitation":"Tuhiwai Smith, Decolonizing Methodologies: Research and Indigenous Peoples, 74.","previouslyFormattedCitation":"Tuhiwai Smith, &lt;i&gt;Decolonizing Methodologies: Research and Indigenous Peoples&lt;/i&gt;, 74."},"properties":{"noteIndex":0},"schema":"https://github.com/citation-style-language/schema/raw/master/csl-citation.json"}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Tuhiwai Smith, </w:t>
      </w:r>
      <w:r w:rsidRPr="00B950C8">
        <w:rPr>
          <w:rFonts w:ascii="Times New Roman" w:hAnsi="Times New Roman" w:cs="Times New Roman"/>
          <w:i/>
          <w:noProof/>
          <w:sz w:val="24"/>
          <w:szCs w:val="24"/>
        </w:rPr>
        <w:t>Decolonizing Methodologies: Research and Indigenous Peoples</w:t>
      </w:r>
      <w:r w:rsidRPr="00B950C8">
        <w:rPr>
          <w:rFonts w:ascii="Times New Roman" w:hAnsi="Times New Roman" w:cs="Times New Roman"/>
          <w:noProof/>
          <w:sz w:val="24"/>
          <w:szCs w:val="24"/>
        </w:rPr>
        <w:t>, 74.</w:t>
      </w:r>
      <w:r w:rsidRPr="00B950C8">
        <w:rPr>
          <w:rFonts w:ascii="Times New Roman" w:hAnsi="Times New Roman" w:cs="Times New Roman"/>
          <w:sz w:val="24"/>
          <w:szCs w:val="24"/>
        </w:rPr>
        <w:fldChar w:fldCharType="end"/>
      </w:r>
    </w:p>
  </w:endnote>
  <w:endnote w:id="65">
    <w:p w14:paraId="0041E3D5" w14:textId="2531037D"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{"citationItems":[{"id":"ITEM-1","itemData":{"author":[{"dropping-particle":"","family":"Tuhiwai Smith","given":"Linda","non-dropping-particle":"","parse-names":false,"suffix":""}],"edition":"2nd","id":"ITEM-1","issued":{"date-parts":[["2012"]]},"publisher":"Zed Books","publisher-place":"London and New York","title":"Decolonizing Methodologies: Research and Indigenous Peoples","type":"book"},"locator":"89","uris":["http://www.mendeley.com/documents/?uuid=868d3010-a235-40e9-aecc-d73c47805f95"]}],"mendeley":{"formattedCitation":"Tuhiwai Smith, 89.","plainTextFormattedCitation":"Tuhiwai Smith, 89.","previouslyFormattedCitation":"Tuhiwai Smith, 89."},"properties":{"noteIndex":0},"schema":"https://github.com/citation-style-language/schema/raw/master/csl-citation.json"}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Tuhiwai Smith, 89.</w:t>
      </w:r>
      <w:r w:rsidRPr="00B950C8">
        <w:rPr>
          <w:rFonts w:ascii="Times New Roman" w:hAnsi="Times New Roman" w:cs="Times New Roman"/>
          <w:sz w:val="24"/>
          <w:szCs w:val="24"/>
        </w:rPr>
        <w:fldChar w:fldCharType="end"/>
      </w:r>
    </w:p>
  </w:endnote>
  <w:endnote w:id="66">
    <w:p w14:paraId="08275D51" w14:textId="56BAF782" w:rsidR="0074492D" w:rsidRPr="00B950C8" w:rsidRDefault="0074492D"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{"citationItems":[{"id":"ITEM-1","itemData":{"author":[{"dropping-particle":"","family":"Mead","given":"Jenna","non-dropping-particle":"","parse-names":false,"suffix":""}],"container-title":"The Global South and Literature","editor":[{"dropping-particle":"","family":"West-Pavlov","given":"Russell","non-dropping-particle":"","parse-names":false,"suffix":""}],"id":"ITEM-1","issued":{"date-parts":[["2018"]]},"page":"264-306","publisher":"Cambridge University Press","publisher-place":"Camrbidge","title":"Medievalism on Country","type":"chapter"},"locator":"300","uris":["http://www.mendeley.com/documents/?uuid=604840db-3d76-487f-b285-27cc8dc32f52"]}],"mendeley":{"formattedCitation":"Mead, “Medievalism on Country,” 300.","plainTextFormattedCitation":"Mead, “Medievalism on Country,” 300."},"properties":{"noteIndex":0},"schema":"https://github.com/citation-style-language/schema/raw/master/csl-citation.json"}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Mead, “Medievalism on Country,” 300.</w:t>
      </w:r>
      <w:r w:rsidRPr="00B950C8">
        <w:rPr>
          <w:rFonts w:ascii="Times New Roman" w:hAnsi="Times New Roman" w:cs="Times New Roman"/>
          <w:sz w:val="24"/>
          <w:szCs w:val="24"/>
        </w:rPr>
        <w:fldChar w:fldCharType="end"/>
      </w:r>
    </w:p>
  </w:endnote>
  <w:endnote w:id="67">
    <w:p w14:paraId="212C0FC1" w14:textId="11FC87B3" w:rsidR="00F421FF" w:rsidRPr="00B950C8" w:rsidRDefault="00F421FF" w:rsidP="00B950C8">
      <w:pPr>
        <w:pStyle w:val="EndnoteText"/>
        <w:spacing w:line="480" w:lineRule="auto"/>
        <w:rPr>
          <w:rFonts w:ascii="Times New Roman" w:hAnsi="Times New Roman" w:cs="Times New Roman"/>
          <w:sz w:val="24"/>
          <w:szCs w:val="24"/>
        </w:rPr>
      </w:pPr>
      <w:r w:rsidRPr="00B950C8">
        <w:rPr>
          <w:rStyle w:val="EndnoteReference"/>
          <w:rFonts w:ascii="Times New Roman" w:hAnsi="Times New Roman" w:cs="Times New Roman"/>
          <w:sz w:val="24"/>
          <w:szCs w:val="24"/>
        </w:rPr>
        <w:endnoteRef/>
      </w:r>
      <w:r w:rsidRPr="00B950C8">
        <w:rPr>
          <w:rFonts w:ascii="Times New Roman" w:hAnsi="Times New Roman" w:cs="Times New Roman"/>
          <w:sz w:val="24"/>
          <w:szCs w:val="24"/>
        </w:rPr>
        <w:t xml:space="preserve"> </w:t>
      </w:r>
      <w:r w:rsidRPr="00B950C8">
        <w:rPr>
          <w:rFonts w:ascii="Times New Roman" w:hAnsi="Times New Roman" w:cs="Times New Roman"/>
          <w:sz w:val="24"/>
          <w:szCs w:val="24"/>
        </w:rPr>
        <w:fldChar w:fldCharType="begin" w:fldLock="1"/>
      </w:r>
      <w:r w:rsidRPr="00B950C8">
        <w:rPr>
          <w:rFonts w:ascii="Times New Roman" w:hAnsi="Times New Roman" w:cs="Times New Roman"/>
          <w:sz w:val="24"/>
          <w:szCs w:val="24"/>
        </w:rPr>
        <w:instrText>ADDIN CSL_CITATION {"citationItems":[{"id":"ITEM-1","itemData":{"DOI":"10.1109/IAdCC.2013.6514202","ISBN":"9781467345286","abstract":"Cloud computing is the most envisioned paradigm shift in the computing world. Its services are being applied in several IT scenarios. This unique platform has brought new security issues to contemplate. This paper proposes a homomorphic encryption scheme based on the Elliptic curve cryptography. It implements a provable data possession scheme to support dynamic operation on data. The application of proof of retrievability scheme provisioned the client to challenge integrity of the data stored. The notion of a third party auditor (TPA) is considered, who verifies and modifies the data on behalf of the client. Data storage at the server is done using a Merkle hash tree (MHT) accomplishing faster data access. This proffered scheme not only checks the data storage correctness but also identifies misbehaving servers. The initial results demonstrate its effectiveness as an improved security system for data storage compared to the existing ones in most prospects. © 2013 IEEE.","author":[{"dropping-particle":"","family":"Nakata","given":"N. Martin","non-dropping-particle":"","parse-names":false,"suffix":""},{"dropping-particle":"","family":"Nakata","given":"Victoria","non-dropping-particle":"","parse-names":false,"suffix":""},{"dropping-particle":"","family":"Keech","given":"Sarah","non-dropping-particle":"","parse-names":false,"suffix":""},{"dropping-particle":"","family":"Bolt","given":"Reuben","non-dropping-particle":"","parse-names":false,"suffix":""}],"container-title":"Decolonization: Indigeneity, Education &amp; Society Vol.","id":"ITEM-1","issue":"1","issued":{"date-parts":[["2012"]]},"page":"120-140","title":"Decolonial goals and pedagogies for Indigenous studies","type":"article-journal","volume":"1"},"locator":"124","uris":["http://www.mendeley.com/documents/?uuid=30243538-3501-4405-bffb-db593aa543f0"]}],"mendeley":{"formattedCitation":"N. Martin Nakata et al., “Decolonial Goals and Pedagogies for Indigenous Studies,” &lt;i&gt;Decolonization: Indigeneity, Education &amp; Society Vol.&lt;/i&gt; 1, no. 1 (2012): 124, https://doi.org/10.1109/IAdCC.2013.6514202.","plainTextFormattedCitation":"N. Martin Nakata et al., “Decolonial Goals and Pedagogies for Indigenous Studies,” Decolonization: Indigeneity, Education &amp; Society Vol. 1, no. 1 (2012): 124, https://doi.org/10.1109/IAdCC.2013.6514202.","previouslyFormattedCitation":"N. Martin Nakata et al., “Decolonial Goals and Pedagogies for Indigenous Studies,” &lt;i&gt;Decolonization: Indigeneity, Education &amp; Society Vol.&lt;/i&gt; 1, no. 1 (2012): 124, https://doi.org/10.1109/IAdCC.2013.6514202."},"properties":{"noteIndex":0},"schema":"https://github.com/citation-style-language/schema/raw/master/csl-citation.json"}</w:instrText>
      </w:r>
      <w:r w:rsidRPr="00B950C8">
        <w:rPr>
          <w:rFonts w:ascii="Times New Roman" w:hAnsi="Times New Roman" w:cs="Times New Roman"/>
          <w:sz w:val="24"/>
          <w:szCs w:val="24"/>
        </w:rPr>
        <w:fldChar w:fldCharType="separate"/>
      </w:r>
      <w:r w:rsidRPr="00B950C8">
        <w:rPr>
          <w:rFonts w:ascii="Times New Roman" w:hAnsi="Times New Roman" w:cs="Times New Roman"/>
          <w:noProof/>
          <w:sz w:val="24"/>
          <w:szCs w:val="24"/>
        </w:rPr>
        <w:t xml:space="preserve">N. Martin Nakata et al., “Decolonial Goals and Pedagogies for Indigenous Studies,” </w:t>
      </w:r>
      <w:r w:rsidRPr="00B950C8">
        <w:rPr>
          <w:rFonts w:ascii="Times New Roman" w:hAnsi="Times New Roman" w:cs="Times New Roman"/>
          <w:i/>
          <w:noProof/>
          <w:sz w:val="24"/>
          <w:szCs w:val="24"/>
        </w:rPr>
        <w:t>Decolonization: Indigeneity, Education &amp; Society Vol.</w:t>
      </w:r>
      <w:r w:rsidRPr="00B950C8">
        <w:rPr>
          <w:rFonts w:ascii="Times New Roman" w:hAnsi="Times New Roman" w:cs="Times New Roman"/>
          <w:noProof/>
          <w:sz w:val="24"/>
          <w:szCs w:val="24"/>
        </w:rPr>
        <w:t xml:space="preserve"> 1, no. 1 (2012): 124, https://doi.org/10.1109/IAdCC.2013.6514202.</w:t>
      </w:r>
      <w:r w:rsidRPr="00B950C8">
        <w:rPr>
          <w:rFonts w:ascii="Times New Roman" w:hAnsi="Times New Roman" w:cs="Times New Roman"/>
          <w:sz w:val="24"/>
          <w:szCs w:val="24"/>
        </w:rPr>
        <w:fldChar w:fldCharType="end"/>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680432"/>
      <w:docPartObj>
        <w:docPartGallery w:val="Page Numbers (Bottom of Page)"/>
        <w:docPartUnique/>
      </w:docPartObj>
    </w:sdtPr>
    <w:sdtEndPr>
      <w:rPr>
        <w:noProof/>
      </w:rPr>
    </w:sdtEndPr>
    <w:sdtContent>
      <w:p w14:paraId="5036FE48" w14:textId="67A32134" w:rsidR="00F421FF" w:rsidRDefault="00F421FF">
        <w:pPr>
          <w:pStyle w:val="Footer"/>
          <w:jc w:val="center"/>
        </w:pPr>
        <w:r>
          <w:fldChar w:fldCharType="begin"/>
        </w:r>
        <w:r>
          <w:instrText xml:space="preserve"> PAGE   \* MERGEFORMAT </w:instrText>
        </w:r>
        <w:r>
          <w:fldChar w:fldCharType="separate"/>
        </w:r>
        <w:r w:rsidR="004311C6">
          <w:rPr>
            <w:noProof/>
          </w:rPr>
          <w:t>1</w:t>
        </w:r>
        <w:r>
          <w:rPr>
            <w:noProof/>
          </w:rPr>
          <w:fldChar w:fldCharType="end"/>
        </w:r>
      </w:p>
    </w:sdtContent>
  </w:sdt>
  <w:p w14:paraId="55B08C40" w14:textId="77777777" w:rsidR="00F421FF" w:rsidRDefault="00F42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D8E5E" w14:textId="77777777" w:rsidR="00F421FF" w:rsidRDefault="00F421FF" w:rsidP="002675E9">
      <w:pPr>
        <w:spacing w:after="0" w:line="240" w:lineRule="auto"/>
      </w:pPr>
      <w:r>
        <w:separator/>
      </w:r>
    </w:p>
  </w:footnote>
  <w:footnote w:type="continuationSeparator" w:id="0">
    <w:p w14:paraId="21611C0C" w14:textId="77777777" w:rsidR="00F421FF" w:rsidRDefault="00F421FF" w:rsidP="002675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efaultTabStop w:val="720"/>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553"/>
    <w:rsid w:val="000107FA"/>
    <w:rsid w:val="000147C6"/>
    <w:rsid w:val="00015FB3"/>
    <w:rsid w:val="00023E3F"/>
    <w:rsid w:val="00051063"/>
    <w:rsid w:val="00057852"/>
    <w:rsid w:val="00060628"/>
    <w:rsid w:val="000627C6"/>
    <w:rsid w:val="00063235"/>
    <w:rsid w:val="00071674"/>
    <w:rsid w:val="000717AD"/>
    <w:rsid w:val="00073BE1"/>
    <w:rsid w:val="00075284"/>
    <w:rsid w:val="00077B03"/>
    <w:rsid w:val="00081F9B"/>
    <w:rsid w:val="00084EAC"/>
    <w:rsid w:val="000A12FB"/>
    <w:rsid w:val="000B5DEF"/>
    <w:rsid w:val="000C2C51"/>
    <w:rsid w:val="000E4315"/>
    <w:rsid w:val="000F6DCC"/>
    <w:rsid w:val="00110B59"/>
    <w:rsid w:val="001212DB"/>
    <w:rsid w:val="0014169C"/>
    <w:rsid w:val="001569FE"/>
    <w:rsid w:val="00164452"/>
    <w:rsid w:val="00165C6E"/>
    <w:rsid w:val="0018274E"/>
    <w:rsid w:val="001905C2"/>
    <w:rsid w:val="001928B2"/>
    <w:rsid w:val="001A0F3F"/>
    <w:rsid w:val="001B125C"/>
    <w:rsid w:val="001D03D6"/>
    <w:rsid w:val="001D7EB8"/>
    <w:rsid w:val="001E0DFB"/>
    <w:rsid w:val="001E6C9A"/>
    <w:rsid w:val="00200B7D"/>
    <w:rsid w:val="00206C74"/>
    <w:rsid w:val="0020703B"/>
    <w:rsid w:val="00211E78"/>
    <w:rsid w:val="00217E50"/>
    <w:rsid w:val="002244AC"/>
    <w:rsid w:val="00243998"/>
    <w:rsid w:val="00244F35"/>
    <w:rsid w:val="00262591"/>
    <w:rsid w:val="0026297C"/>
    <w:rsid w:val="0026310B"/>
    <w:rsid w:val="00266DDC"/>
    <w:rsid w:val="002675E9"/>
    <w:rsid w:val="00271224"/>
    <w:rsid w:val="00272A7E"/>
    <w:rsid w:val="002A2D08"/>
    <w:rsid w:val="002B473F"/>
    <w:rsid w:val="002B5044"/>
    <w:rsid w:val="002C6566"/>
    <w:rsid w:val="002D4B03"/>
    <w:rsid w:val="002E5794"/>
    <w:rsid w:val="002F28FF"/>
    <w:rsid w:val="002F68E3"/>
    <w:rsid w:val="0030457B"/>
    <w:rsid w:val="003279F7"/>
    <w:rsid w:val="00333F63"/>
    <w:rsid w:val="003355BD"/>
    <w:rsid w:val="0033618A"/>
    <w:rsid w:val="003419B1"/>
    <w:rsid w:val="00346216"/>
    <w:rsid w:val="0035454E"/>
    <w:rsid w:val="00372C19"/>
    <w:rsid w:val="003756CD"/>
    <w:rsid w:val="003930CE"/>
    <w:rsid w:val="003B4870"/>
    <w:rsid w:val="003E00B7"/>
    <w:rsid w:val="0040500F"/>
    <w:rsid w:val="0042364E"/>
    <w:rsid w:val="004311C6"/>
    <w:rsid w:val="004370AE"/>
    <w:rsid w:val="004514A2"/>
    <w:rsid w:val="00454855"/>
    <w:rsid w:val="004558A8"/>
    <w:rsid w:val="004841C3"/>
    <w:rsid w:val="004942A8"/>
    <w:rsid w:val="00496F37"/>
    <w:rsid w:val="004A24BA"/>
    <w:rsid w:val="004B115B"/>
    <w:rsid w:val="004B2F25"/>
    <w:rsid w:val="004E76F7"/>
    <w:rsid w:val="004F7276"/>
    <w:rsid w:val="00517337"/>
    <w:rsid w:val="00520B1B"/>
    <w:rsid w:val="005330DB"/>
    <w:rsid w:val="00534553"/>
    <w:rsid w:val="00537198"/>
    <w:rsid w:val="0054028B"/>
    <w:rsid w:val="00543D3E"/>
    <w:rsid w:val="00547C40"/>
    <w:rsid w:val="005639EF"/>
    <w:rsid w:val="00573218"/>
    <w:rsid w:val="00576AD0"/>
    <w:rsid w:val="00577027"/>
    <w:rsid w:val="005A7E2F"/>
    <w:rsid w:val="005B4318"/>
    <w:rsid w:val="005C5801"/>
    <w:rsid w:val="005C6EC2"/>
    <w:rsid w:val="005D1904"/>
    <w:rsid w:val="005D27AC"/>
    <w:rsid w:val="006152F8"/>
    <w:rsid w:val="00633D49"/>
    <w:rsid w:val="00636D09"/>
    <w:rsid w:val="0065049D"/>
    <w:rsid w:val="0066281B"/>
    <w:rsid w:val="00665409"/>
    <w:rsid w:val="00673A83"/>
    <w:rsid w:val="006774C9"/>
    <w:rsid w:val="0069038F"/>
    <w:rsid w:val="006A146F"/>
    <w:rsid w:val="006A7016"/>
    <w:rsid w:val="006B2D9D"/>
    <w:rsid w:val="006B6CC1"/>
    <w:rsid w:val="006C6030"/>
    <w:rsid w:val="006E011F"/>
    <w:rsid w:val="006F0373"/>
    <w:rsid w:val="006F61FA"/>
    <w:rsid w:val="0070149B"/>
    <w:rsid w:val="0071276A"/>
    <w:rsid w:val="007161F1"/>
    <w:rsid w:val="007167CB"/>
    <w:rsid w:val="0073223A"/>
    <w:rsid w:val="00737FED"/>
    <w:rsid w:val="0074492D"/>
    <w:rsid w:val="007525AE"/>
    <w:rsid w:val="007803AE"/>
    <w:rsid w:val="007C16AA"/>
    <w:rsid w:val="007D37EA"/>
    <w:rsid w:val="007D45FC"/>
    <w:rsid w:val="007E0773"/>
    <w:rsid w:val="007E4842"/>
    <w:rsid w:val="007F3D53"/>
    <w:rsid w:val="008015DA"/>
    <w:rsid w:val="00806C44"/>
    <w:rsid w:val="00811928"/>
    <w:rsid w:val="00811D2C"/>
    <w:rsid w:val="00822167"/>
    <w:rsid w:val="00833605"/>
    <w:rsid w:val="0085226F"/>
    <w:rsid w:val="00854DAE"/>
    <w:rsid w:val="00872900"/>
    <w:rsid w:val="00876939"/>
    <w:rsid w:val="008808E4"/>
    <w:rsid w:val="00892C86"/>
    <w:rsid w:val="00892F20"/>
    <w:rsid w:val="008A2E35"/>
    <w:rsid w:val="008B52CE"/>
    <w:rsid w:val="008C139D"/>
    <w:rsid w:val="008C3276"/>
    <w:rsid w:val="008C3BE7"/>
    <w:rsid w:val="008C4CEC"/>
    <w:rsid w:val="008D7D70"/>
    <w:rsid w:val="008D7ED3"/>
    <w:rsid w:val="008E3CB2"/>
    <w:rsid w:val="008F0928"/>
    <w:rsid w:val="008F23C8"/>
    <w:rsid w:val="009016CA"/>
    <w:rsid w:val="00901905"/>
    <w:rsid w:val="00901C60"/>
    <w:rsid w:val="00903651"/>
    <w:rsid w:val="0092179B"/>
    <w:rsid w:val="00926992"/>
    <w:rsid w:val="00937475"/>
    <w:rsid w:val="009472F4"/>
    <w:rsid w:val="009626AE"/>
    <w:rsid w:val="00967926"/>
    <w:rsid w:val="00977AFC"/>
    <w:rsid w:val="0098052B"/>
    <w:rsid w:val="00992F01"/>
    <w:rsid w:val="00993A14"/>
    <w:rsid w:val="009A1CB4"/>
    <w:rsid w:val="009A3710"/>
    <w:rsid w:val="009B3636"/>
    <w:rsid w:val="009F2688"/>
    <w:rsid w:val="009F2EDF"/>
    <w:rsid w:val="009F4BFC"/>
    <w:rsid w:val="00A03821"/>
    <w:rsid w:val="00A0760B"/>
    <w:rsid w:val="00A20E21"/>
    <w:rsid w:val="00A21DC2"/>
    <w:rsid w:val="00A268C6"/>
    <w:rsid w:val="00A36F2C"/>
    <w:rsid w:val="00A37818"/>
    <w:rsid w:val="00A61BA1"/>
    <w:rsid w:val="00A658D3"/>
    <w:rsid w:val="00A80537"/>
    <w:rsid w:val="00A824C7"/>
    <w:rsid w:val="00A83B05"/>
    <w:rsid w:val="00A85F85"/>
    <w:rsid w:val="00A91A5C"/>
    <w:rsid w:val="00A93AFB"/>
    <w:rsid w:val="00AA6DB0"/>
    <w:rsid w:val="00AB0598"/>
    <w:rsid w:val="00AB2923"/>
    <w:rsid w:val="00AD61A3"/>
    <w:rsid w:val="00AF6C85"/>
    <w:rsid w:val="00B0515F"/>
    <w:rsid w:val="00B06C98"/>
    <w:rsid w:val="00B124EB"/>
    <w:rsid w:val="00B222BD"/>
    <w:rsid w:val="00B35865"/>
    <w:rsid w:val="00B56291"/>
    <w:rsid w:val="00B5700D"/>
    <w:rsid w:val="00B60485"/>
    <w:rsid w:val="00B67CCC"/>
    <w:rsid w:val="00B74551"/>
    <w:rsid w:val="00B92ED0"/>
    <w:rsid w:val="00B949F6"/>
    <w:rsid w:val="00B950C8"/>
    <w:rsid w:val="00B95CD3"/>
    <w:rsid w:val="00B96B40"/>
    <w:rsid w:val="00BA1CD7"/>
    <w:rsid w:val="00BA249C"/>
    <w:rsid w:val="00BC12BC"/>
    <w:rsid w:val="00BD07EF"/>
    <w:rsid w:val="00BF1AD3"/>
    <w:rsid w:val="00BF501B"/>
    <w:rsid w:val="00C11942"/>
    <w:rsid w:val="00C17F50"/>
    <w:rsid w:val="00C20F38"/>
    <w:rsid w:val="00C267E8"/>
    <w:rsid w:val="00C362BF"/>
    <w:rsid w:val="00C36BBE"/>
    <w:rsid w:val="00C633A2"/>
    <w:rsid w:val="00C71160"/>
    <w:rsid w:val="00C75BE5"/>
    <w:rsid w:val="00C96FF4"/>
    <w:rsid w:val="00CA61A8"/>
    <w:rsid w:val="00CC0EBB"/>
    <w:rsid w:val="00CE4780"/>
    <w:rsid w:val="00CF464D"/>
    <w:rsid w:val="00CF74B8"/>
    <w:rsid w:val="00D431F0"/>
    <w:rsid w:val="00D67116"/>
    <w:rsid w:val="00D673E9"/>
    <w:rsid w:val="00D84F6E"/>
    <w:rsid w:val="00D91000"/>
    <w:rsid w:val="00DA37DF"/>
    <w:rsid w:val="00DC2A28"/>
    <w:rsid w:val="00DC4406"/>
    <w:rsid w:val="00DD36E7"/>
    <w:rsid w:val="00DD6014"/>
    <w:rsid w:val="00DE1A32"/>
    <w:rsid w:val="00E06381"/>
    <w:rsid w:val="00E220F6"/>
    <w:rsid w:val="00E22DE3"/>
    <w:rsid w:val="00E33B2E"/>
    <w:rsid w:val="00E37C62"/>
    <w:rsid w:val="00E421B0"/>
    <w:rsid w:val="00E561D2"/>
    <w:rsid w:val="00E829A3"/>
    <w:rsid w:val="00E85B7F"/>
    <w:rsid w:val="00E91DA6"/>
    <w:rsid w:val="00E97533"/>
    <w:rsid w:val="00EA4B80"/>
    <w:rsid w:val="00EB1EDD"/>
    <w:rsid w:val="00EB1F9A"/>
    <w:rsid w:val="00EB5788"/>
    <w:rsid w:val="00EC4B64"/>
    <w:rsid w:val="00EC4FEA"/>
    <w:rsid w:val="00ED11B4"/>
    <w:rsid w:val="00ED3359"/>
    <w:rsid w:val="00ED4A40"/>
    <w:rsid w:val="00ED6223"/>
    <w:rsid w:val="00F03630"/>
    <w:rsid w:val="00F1354B"/>
    <w:rsid w:val="00F15773"/>
    <w:rsid w:val="00F21DCF"/>
    <w:rsid w:val="00F421FF"/>
    <w:rsid w:val="00F75C13"/>
    <w:rsid w:val="00F840D1"/>
    <w:rsid w:val="00FC4FBB"/>
    <w:rsid w:val="00FC7EE7"/>
    <w:rsid w:val="00FD7CB5"/>
    <w:rsid w:val="00FE6C5C"/>
    <w:rsid w:val="00FF73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34240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5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534553"/>
    <w:rPr>
      <w:vertAlign w:val="superscript"/>
    </w:rPr>
  </w:style>
  <w:style w:type="paragraph" w:styleId="FootnoteText">
    <w:name w:val="footnote text"/>
    <w:basedOn w:val="Normal"/>
    <w:link w:val="FootnoteTextChar"/>
    <w:uiPriority w:val="99"/>
    <w:semiHidden/>
    <w:unhideWhenUsed/>
    <w:rsid w:val="002675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75E9"/>
    <w:rPr>
      <w:sz w:val="20"/>
      <w:szCs w:val="20"/>
    </w:rPr>
  </w:style>
  <w:style w:type="character" w:styleId="Hyperlink">
    <w:name w:val="Hyperlink"/>
    <w:basedOn w:val="DefaultParagraphFont"/>
    <w:uiPriority w:val="99"/>
    <w:unhideWhenUsed/>
    <w:rsid w:val="008D7ED3"/>
    <w:rPr>
      <w:color w:val="0563C1" w:themeColor="hyperlink"/>
      <w:u w:val="single"/>
    </w:rPr>
  </w:style>
  <w:style w:type="character" w:styleId="FollowedHyperlink">
    <w:name w:val="FollowedHyperlink"/>
    <w:basedOn w:val="DefaultParagraphFont"/>
    <w:uiPriority w:val="99"/>
    <w:semiHidden/>
    <w:unhideWhenUsed/>
    <w:rsid w:val="00B5700D"/>
    <w:rPr>
      <w:color w:val="954F72" w:themeColor="followedHyperlink"/>
      <w:u w:val="single"/>
    </w:rPr>
  </w:style>
  <w:style w:type="paragraph" w:styleId="NormalWeb">
    <w:name w:val="Normal (Web)"/>
    <w:basedOn w:val="Normal"/>
    <w:uiPriority w:val="99"/>
    <w:semiHidden/>
    <w:unhideWhenUsed/>
    <w:rsid w:val="0006062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EndnoteText">
    <w:name w:val="endnote text"/>
    <w:basedOn w:val="Normal"/>
    <w:link w:val="EndnoteTextChar"/>
    <w:uiPriority w:val="99"/>
    <w:semiHidden/>
    <w:unhideWhenUsed/>
    <w:rsid w:val="000606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0628"/>
    <w:rPr>
      <w:sz w:val="20"/>
      <w:szCs w:val="20"/>
    </w:rPr>
  </w:style>
  <w:style w:type="character" w:styleId="EndnoteReference">
    <w:name w:val="endnote reference"/>
    <w:basedOn w:val="DefaultParagraphFont"/>
    <w:uiPriority w:val="99"/>
    <w:semiHidden/>
    <w:unhideWhenUsed/>
    <w:rsid w:val="00060628"/>
    <w:rPr>
      <w:vertAlign w:val="superscript"/>
    </w:rPr>
  </w:style>
  <w:style w:type="paragraph" w:styleId="BalloonText">
    <w:name w:val="Balloon Text"/>
    <w:basedOn w:val="Normal"/>
    <w:link w:val="BalloonTextChar"/>
    <w:uiPriority w:val="99"/>
    <w:semiHidden/>
    <w:unhideWhenUsed/>
    <w:rsid w:val="008221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167"/>
    <w:rPr>
      <w:rFonts w:ascii="Segoe UI" w:hAnsi="Segoe UI" w:cs="Segoe UI"/>
      <w:sz w:val="18"/>
      <w:szCs w:val="18"/>
    </w:rPr>
  </w:style>
  <w:style w:type="paragraph" w:styleId="Header">
    <w:name w:val="header"/>
    <w:basedOn w:val="Normal"/>
    <w:link w:val="HeaderChar"/>
    <w:uiPriority w:val="99"/>
    <w:unhideWhenUsed/>
    <w:rsid w:val="001644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4452"/>
  </w:style>
  <w:style w:type="paragraph" w:styleId="Footer">
    <w:name w:val="footer"/>
    <w:basedOn w:val="Normal"/>
    <w:link w:val="FooterChar"/>
    <w:uiPriority w:val="99"/>
    <w:unhideWhenUsed/>
    <w:rsid w:val="001644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44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9453">
      <w:bodyDiv w:val="1"/>
      <w:marLeft w:val="0"/>
      <w:marRight w:val="0"/>
      <w:marTop w:val="0"/>
      <w:marBottom w:val="0"/>
      <w:divBdr>
        <w:top w:val="none" w:sz="0" w:space="0" w:color="auto"/>
        <w:left w:val="none" w:sz="0" w:space="0" w:color="auto"/>
        <w:bottom w:val="none" w:sz="0" w:space="0" w:color="auto"/>
        <w:right w:val="none" w:sz="0" w:space="0" w:color="auto"/>
      </w:divBdr>
      <w:divsChild>
        <w:div w:id="1626152199">
          <w:marLeft w:val="0"/>
          <w:marRight w:val="0"/>
          <w:marTop w:val="0"/>
          <w:marBottom w:val="0"/>
          <w:divBdr>
            <w:top w:val="none" w:sz="0" w:space="8" w:color="auto"/>
            <w:left w:val="none" w:sz="0" w:space="15" w:color="auto"/>
            <w:bottom w:val="single" w:sz="12" w:space="8" w:color="871000"/>
            <w:right w:val="none" w:sz="0" w:space="0" w:color="auto"/>
          </w:divBdr>
          <w:divsChild>
            <w:div w:id="206471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36649">
      <w:bodyDiv w:val="1"/>
      <w:marLeft w:val="0"/>
      <w:marRight w:val="0"/>
      <w:marTop w:val="0"/>
      <w:marBottom w:val="0"/>
      <w:divBdr>
        <w:top w:val="none" w:sz="0" w:space="0" w:color="auto"/>
        <w:left w:val="none" w:sz="0" w:space="0" w:color="auto"/>
        <w:bottom w:val="none" w:sz="0" w:space="0" w:color="auto"/>
        <w:right w:val="none" w:sz="0" w:space="0" w:color="auto"/>
      </w:divBdr>
    </w:div>
    <w:div w:id="534389833">
      <w:bodyDiv w:val="1"/>
      <w:marLeft w:val="0"/>
      <w:marRight w:val="0"/>
      <w:marTop w:val="0"/>
      <w:marBottom w:val="0"/>
      <w:divBdr>
        <w:top w:val="none" w:sz="0" w:space="0" w:color="auto"/>
        <w:left w:val="none" w:sz="0" w:space="0" w:color="auto"/>
        <w:bottom w:val="none" w:sz="0" w:space="0" w:color="auto"/>
        <w:right w:val="none" w:sz="0" w:space="0" w:color="auto"/>
      </w:divBdr>
    </w:div>
    <w:div w:id="1295335943">
      <w:bodyDiv w:val="1"/>
      <w:marLeft w:val="0"/>
      <w:marRight w:val="0"/>
      <w:marTop w:val="0"/>
      <w:marBottom w:val="0"/>
      <w:divBdr>
        <w:top w:val="none" w:sz="0" w:space="0" w:color="auto"/>
        <w:left w:val="none" w:sz="0" w:space="0" w:color="auto"/>
        <w:bottom w:val="none" w:sz="0" w:space="0" w:color="auto"/>
        <w:right w:val="none" w:sz="0" w:space="0" w:color="auto"/>
      </w:divBdr>
      <w:divsChild>
        <w:div w:id="1385327025">
          <w:marLeft w:val="0"/>
          <w:marRight w:val="0"/>
          <w:marTop w:val="0"/>
          <w:marBottom w:val="0"/>
          <w:divBdr>
            <w:top w:val="none" w:sz="0" w:space="0" w:color="auto"/>
            <w:left w:val="none" w:sz="0" w:space="0" w:color="auto"/>
            <w:bottom w:val="none" w:sz="0" w:space="0" w:color="auto"/>
            <w:right w:val="none" w:sz="0" w:space="0" w:color="auto"/>
          </w:divBdr>
        </w:div>
      </w:divsChild>
    </w:div>
    <w:div w:id="1955289224">
      <w:bodyDiv w:val="1"/>
      <w:marLeft w:val="0"/>
      <w:marRight w:val="0"/>
      <w:marTop w:val="0"/>
      <w:marBottom w:val="0"/>
      <w:divBdr>
        <w:top w:val="none" w:sz="0" w:space="0" w:color="auto"/>
        <w:left w:val="none" w:sz="0" w:space="0" w:color="auto"/>
        <w:bottom w:val="none" w:sz="0" w:space="0" w:color="auto"/>
        <w:right w:val="none" w:sz="0" w:space="0" w:color="auto"/>
      </w:divBdr>
    </w:div>
    <w:div w:id="2046369227">
      <w:bodyDiv w:val="1"/>
      <w:marLeft w:val="0"/>
      <w:marRight w:val="0"/>
      <w:marTop w:val="0"/>
      <w:marBottom w:val="0"/>
      <w:divBdr>
        <w:top w:val="none" w:sz="0" w:space="0" w:color="auto"/>
        <w:left w:val="none" w:sz="0" w:space="0" w:color="auto"/>
        <w:bottom w:val="none" w:sz="0" w:space="0" w:color="auto"/>
        <w:right w:val="none" w:sz="0" w:space="0" w:color="auto"/>
      </w:divBdr>
      <w:divsChild>
        <w:div w:id="1744988565">
          <w:marLeft w:val="0"/>
          <w:marRight w:val="0"/>
          <w:marTop w:val="0"/>
          <w:marBottom w:val="0"/>
          <w:divBdr>
            <w:top w:val="none" w:sz="0" w:space="8" w:color="auto"/>
            <w:left w:val="none" w:sz="0" w:space="15" w:color="auto"/>
            <w:bottom w:val="single" w:sz="12" w:space="8" w:color="871000"/>
            <w:right w:val="none" w:sz="0" w:space="0" w:color="auto"/>
          </w:divBdr>
          <w:divsChild>
            <w:div w:id="12090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FE38A150459EE40A6EC53EEAA6E0B43" ma:contentTypeVersion="13" ma:contentTypeDescription="Create a new document." ma:contentTypeScope="" ma:versionID="5c5fd4c2105b1348284ee630fe8d2613">
  <xsd:schema xmlns:xsd="http://www.w3.org/2001/XMLSchema" xmlns:xs="http://www.w3.org/2001/XMLSchema" xmlns:p="http://schemas.microsoft.com/office/2006/metadata/properties" xmlns:ns3="c8c2f13f-b5cf-4cf2-98b7-f9019619a454" xmlns:ns4="55e947bc-0899-48ff-b78e-756c0e076e2f" targetNamespace="http://schemas.microsoft.com/office/2006/metadata/properties" ma:root="true" ma:fieldsID="b22338a1c505bb420740a2668bb7468a" ns3:_="" ns4:_="">
    <xsd:import namespace="c8c2f13f-b5cf-4cf2-98b7-f9019619a454"/>
    <xsd:import namespace="55e947bc-0899-48ff-b78e-756c0e076e2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2f13f-b5cf-4cf2-98b7-f9019619a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e947bc-0899-48ff-b78e-756c0e076e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33CD405-4835-446D-BF25-98E7ED942C5E}">
  <ds:schemaRefs>
    <ds:schemaRef ds:uri="http://purl.org/dc/elements/1.1/"/>
    <ds:schemaRef ds:uri="http://schemas.microsoft.com/office/2006/metadata/properties"/>
    <ds:schemaRef ds:uri="c8c2f13f-b5cf-4cf2-98b7-f9019619a4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5e947bc-0899-48ff-b78e-756c0e076e2f"/>
    <ds:schemaRef ds:uri="http://www.w3.org/XML/1998/namespace"/>
    <ds:schemaRef ds:uri="http://purl.org/dc/dcmitype/"/>
  </ds:schemaRefs>
</ds:datastoreItem>
</file>

<file path=customXml/itemProps2.xml><?xml version="1.0" encoding="utf-8"?>
<ds:datastoreItem xmlns:ds="http://schemas.openxmlformats.org/officeDocument/2006/customXml" ds:itemID="{03E0426C-18DF-49D2-9F88-E2C14D403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2f13f-b5cf-4cf2-98b7-f9019619a454"/>
    <ds:schemaRef ds:uri="55e947bc-0899-48ff-b78e-756c0e076e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E430E2-F056-4D1B-9E0D-074DF66A241F}">
  <ds:schemaRefs>
    <ds:schemaRef ds:uri="http://schemas.microsoft.com/sharepoint/v3/contenttype/forms"/>
  </ds:schemaRefs>
</ds:datastoreItem>
</file>

<file path=customXml/itemProps4.xml><?xml version="1.0" encoding="utf-8"?>
<ds:datastoreItem xmlns:ds="http://schemas.openxmlformats.org/officeDocument/2006/customXml" ds:itemID="{7918B2FE-0995-4CDA-9EFB-5CF502A44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5437</Words>
  <Characters>26484</Characters>
  <Application>Microsoft Office Word</Application>
  <DocSecurity>0</DocSecurity>
  <Lines>420</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2020-02-14T11:54:00Z</dcterms:created>
  <dcterms:modified xsi:type="dcterms:W3CDTF">2020-02-14T12:24:00Z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0x0101004FE38A150459EE40A6EC53EEAA6E0B43</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http://www.zotero.org/styles/chicago-fullnote-bibliography</vt:lpwstr>
  </property>
  <property fmtid="{D5CDD505-2E9C-101B-9397-08002B2CF9AE}" pid="12" name="Mendeley Recent Style Name 4_1">
    <vt:lpwstr>Chicago Manual of Style 17th edition (full note)</vt:lpwstr>
  </property>
  <property fmtid="{D5CDD505-2E9C-101B-9397-08002B2CF9AE}" pid="13" name="Mendeley Recent Style Id 5_1">
    <vt:lpwstr>http://www.zotero.org/styles/chicago-note-bibliography</vt:lpwstr>
  </property>
  <property fmtid="{D5CDD505-2E9C-101B-9397-08002B2CF9AE}" pid="14" name="Mendeley Recent Style Name 5_1">
    <vt:lpwstr>Chicago Manual of Style 17th edition (note)</vt:lpwstr>
  </property>
  <property fmtid="{D5CDD505-2E9C-101B-9397-08002B2CF9AE}" pid="15" name="Mendeley Recent Style Id 6_1">
    <vt:lpwstr>http://www.zotero.org/styles/harvard-cite-them-right</vt:lpwstr>
  </property>
  <property fmtid="{D5CDD505-2E9C-101B-9397-08002B2CF9AE}" pid="16" name="Mendeley Recent Style Name 6_1">
    <vt:lpwstr>Cite Them Right 10th edition - Harvard</vt:lpwstr>
  </property>
  <property fmtid="{D5CDD505-2E9C-101B-9397-08002B2CF9AE}" pid="17" name="Mendeley Recent Style Id 7_1">
    <vt:lpwstr>http://www.zotero.org/styles/ieee</vt:lpwstr>
  </property>
  <property fmtid="{D5CDD505-2E9C-101B-9397-08002B2CF9AE}" pid="18" name="Mendeley Recent Style Name 7_1">
    <vt:lpwstr>IEEE</vt:lpwstr>
  </property>
  <property fmtid="{D5CDD505-2E9C-101B-9397-08002B2CF9AE}" pid="19" name="Mendeley Recent Style Id 8_1">
    <vt:lpwstr>http://www.zotero.org/styles/modern-humanities-research-association</vt:lpwstr>
  </property>
  <property fmtid="{D5CDD505-2E9C-101B-9397-08002B2CF9AE}" pid="20" name="Mendeley Recent Style Name 8_1">
    <vt:lpwstr>Modern Humanities Research Association 3rd edition (note with bibliography)</vt:lpwstr>
  </property>
  <property fmtid="{D5CDD505-2E9C-101B-9397-08002B2CF9AE}" pid="21" name="Mendeley Recent Style Id 9_1">
    <vt:lpwstr>http://www.zotero.org/styles/modern-language-association</vt:lpwstr>
  </property>
  <property fmtid="{D5CDD505-2E9C-101B-9397-08002B2CF9AE}" pid="22" name="Mendeley Recent Style Name 9_1">
    <vt:lpwstr>Modern Language Association 8th edition</vt:lpwstr>
  </property>
  <property fmtid="{D5CDD505-2E9C-101B-9397-08002B2CF9AE}" pid="23" name="Mendeley Document_1">
    <vt:lpwstr>True</vt:lpwstr>
  </property>
  <property fmtid="{D5CDD505-2E9C-101B-9397-08002B2CF9AE}" pid="24" name="Mendeley Unique User Id_1">
    <vt:lpwstr>e9cf996b-1669-3948-8ff1-efdb0d9fa71c</vt:lpwstr>
  </property>
  <property fmtid="{D5CDD505-2E9C-101B-9397-08002B2CF9AE}" pid="25" name="Mendeley Citation Style_1">
    <vt:lpwstr>http://www.zotero.org/styles/chicago-fullnote-bibliography</vt:lpwstr>
  </property>
</Properties>
</file>