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24DD" w:rsidRDefault="00082ABC" w:rsidP="00B14A54">
      <w:pPr>
        <w:pStyle w:val="PaperTitle"/>
      </w:pPr>
      <w:r w:rsidRPr="00082ABC">
        <w:t xml:space="preserve">Optimal </w:t>
      </w:r>
      <w:r w:rsidRPr="00082ABC">
        <w:rPr>
          <w:rFonts w:hint="eastAsia"/>
        </w:rPr>
        <w:t>concession period</w:t>
      </w:r>
      <w:r w:rsidRPr="00082ABC">
        <w:t xml:space="preserve"> design to cope with uncertainty in </w:t>
      </w:r>
      <w:r w:rsidRPr="00082ABC">
        <w:rPr>
          <w:rFonts w:hint="eastAsia"/>
        </w:rPr>
        <w:t>p</w:t>
      </w:r>
      <w:r w:rsidRPr="00082ABC">
        <w:t>ublic-private partnership</w:t>
      </w:r>
    </w:p>
    <w:p w:rsidR="00082ABC" w:rsidRPr="00082ABC" w:rsidRDefault="00082ABC" w:rsidP="00082ABC">
      <w:r w:rsidRPr="00082ABC">
        <w:rPr>
          <w:rFonts w:hint="eastAsia"/>
        </w:rPr>
        <w:t>Ho</w:t>
      </w:r>
      <w:r w:rsidRPr="00082ABC">
        <w:t xml:space="preserve">ngyu Jin and </w:t>
      </w:r>
      <w:proofErr w:type="spellStart"/>
      <w:r w:rsidRPr="00082ABC">
        <w:t>Chunlu</w:t>
      </w:r>
      <w:proofErr w:type="spellEnd"/>
      <w:r w:rsidRPr="00082ABC">
        <w:t xml:space="preserve"> Liu</w:t>
      </w:r>
    </w:p>
    <w:p w:rsidR="004924DD" w:rsidRDefault="00082ABC" w:rsidP="00B14A54">
      <w:pPr>
        <w:pStyle w:val="Abstract"/>
      </w:pPr>
      <w:r w:rsidRPr="00082ABC">
        <w:t>Public-private partnership (PPP) has been widely used in delivering infrastructure projects, such as freeway, tunnel and bridge. One of the most important parameters in PPP contract that need</w:t>
      </w:r>
      <w:r w:rsidRPr="00082ABC">
        <w:rPr>
          <w:rFonts w:hint="eastAsia"/>
        </w:rPr>
        <w:t>s</w:t>
      </w:r>
      <w:r w:rsidRPr="00082ABC">
        <w:t xml:space="preserve"> to be predetermined is the concession period. Formulation of the length of the concession period should consider </w:t>
      </w:r>
      <w:r w:rsidRPr="00082ABC">
        <w:rPr>
          <w:rFonts w:hint="eastAsia"/>
        </w:rPr>
        <w:t>not</w:t>
      </w:r>
      <w:r w:rsidRPr="00082ABC">
        <w:t xml:space="preserve"> only the profits of the private investors, but </w:t>
      </w:r>
      <w:r w:rsidRPr="00082ABC">
        <w:rPr>
          <w:rFonts w:hint="eastAsia"/>
        </w:rPr>
        <w:t>also</w:t>
      </w:r>
      <w:r w:rsidRPr="00082ABC">
        <w:t xml:space="preserve"> the influence of the concession period in risk control. This paper develop</w:t>
      </w:r>
      <w:r w:rsidRPr="00082ABC">
        <w:rPr>
          <w:rFonts w:hint="eastAsia"/>
        </w:rPr>
        <w:t>s</w:t>
      </w:r>
      <w:r w:rsidRPr="00082ABC">
        <w:t xml:space="preserve"> a concession period determination model based on expanded net present value and bargaining game theory. It is also considered that the influence of the risk preferences held by project parties on the length of the concession period. Additionally, the financial risks borne by both parties are measured to verify the risk control ability of the concession period. Refer to a real PPP project in Australia, project BA is created as a numerical example to verify the proposed method. The outcome shows that the project parties can </w:t>
      </w:r>
      <w:r w:rsidRPr="00082ABC">
        <w:rPr>
          <w:rFonts w:hint="eastAsia"/>
        </w:rPr>
        <w:t>c</w:t>
      </w:r>
      <w:r w:rsidRPr="00082ABC">
        <w:t>reate a win-win situation during the optimized concession period and that the probability of suffering risk events for both parties is controlled within the acceptable range. The decision process used in this paper demonstrates strong effectiveness and ability to determine the optimal length of a concession period</w:t>
      </w:r>
      <w:r w:rsidR="00402EC4" w:rsidRPr="00402EC4">
        <w:t>.</w:t>
      </w:r>
    </w:p>
    <w:p w:rsidR="004924DD" w:rsidRPr="00EA043F" w:rsidRDefault="004924DD" w:rsidP="00EA043F">
      <w:pPr>
        <w:pStyle w:val="Keywords"/>
      </w:pPr>
      <w:r w:rsidRPr="00EA043F">
        <w:t>Keywords:</w:t>
      </w:r>
      <w:r w:rsidR="00082ABC" w:rsidRPr="00EA043F">
        <w:t xml:space="preserve"> </w:t>
      </w:r>
      <w:r w:rsidR="00082ABC" w:rsidRPr="00EA043F">
        <w:rPr>
          <w:rFonts w:hint="eastAsia"/>
        </w:rPr>
        <w:t>c</w:t>
      </w:r>
      <w:r w:rsidR="00082ABC" w:rsidRPr="00EA043F">
        <w:t>oncession period; public-private partnership; real option; risk control</w:t>
      </w:r>
    </w:p>
    <w:p w:rsidR="004924DD" w:rsidRDefault="004924DD">
      <w:pPr>
        <w:pStyle w:val="SectionHeading"/>
      </w:pPr>
      <w:r>
        <w:t>Introduction</w:t>
      </w:r>
    </w:p>
    <w:p w:rsidR="00082ABC" w:rsidRDefault="00082ABC" w:rsidP="00082ABC">
      <w:r w:rsidRPr="00082ABC">
        <w:t xml:space="preserve">Public-private partnership (PPP) is defined as “a long-term contractual arrangement between the public and the private sector to realize public infrastructure and services more cost effectively and efficiently than under conventional procurement” </w:t>
      </w:r>
      <w:r w:rsidRPr="00082ABC">
        <w:fldChar w:fldCharType="begin"/>
      </w:r>
      <w:r w:rsidRPr="00082ABC">
        <w:instrText xml:space="preserve"> ADDIN EN.CITE &lt;EndNote&gt;&lt;Cite&gt;&lt;Author&gt;Daube&lt;/Author&gt;&lt;Year&gt;2008&lt;/Year&gt;&lt;RecNum&gt;178&lt;/RecNum&gt;&lt;DisplayText&gt;(Daube, Vollrath, &amp;amp; Alfen, 2008)&lt;/DisplayText&gt;&lt;record&gt;&lt;rec-number&gt;178&lt;/rec-number&gt;&lt;foreign-keys&gt;&lt;key app="EN" db-id="wer55raw00tdvhezxfivz90jx5z2dfew9dpd" timestamp="1493598843"&gt;178&lt;/key&gt;&lt;/foreign-keys&gt;&lt;ref-type name="Journal Article"&gt;17&lt;/ref-type&gt;&lt;contributors&gt;&lt;authors&gt;&lt;author&gt;Daube, Dirk&lt;/author&gt;&lt;author&gt;Vollrath, Susann&lt;/author&gt;&lt;author&gt;Alfen, Hans Wilhelm&lt;/author&gt;&lt;/authors&gt;&lt;/contributors&gt;&lt;titles&gt;&lt;title&gt;A comparison of Project Finance and the Forfeiting Model as financing forms for PPP projects in Germany&lt;/title&gt;&lt;secondary-title&gt;International Journal of Project Management&lt;/secondary-title&gt;&lt;/titles&gt;&lt;periodical&gt;&lt;full-title&gt;International Journal of Project Management&lt;/full-title&gt;&lt;/periodical&gt;&lt;pages&gt;376-387&lt;/pages&gt;&lt;volume&gt;26&lt;/volume&gt;&lt;number&gt;4&lt;/number&gt;&lt;dates&gt;&lt;year&gt;2008&lt;/year&gt;&lt;/dates&gt;&lt;isbn&gt;0263-7863&lt;/isbn&gt;&lt;urls&gt;&lt;/urls&gt;&lt;/record&gt;&lt;/Cite&gt;&lt;/EndNote&gt;</w:instrText>
      </w:r>
      <w:r w:rsidRPr="00082ABC">
        <w:fldChar w:fldCharType="separate"/>
      </w:r>
      <w:r w:rsidRPr="00082ABC">
        <w:t>(</w:t>
      </w:r>
      <w:hyperlink w:anchor="_ENREF_8" w:tooltip="Daube, 2008 #178" w:history="1">
        <w:r w:rsidRPr="00082ABC">
          <w:t>Daube et al., 2008</w:t>
        </w:r>
      </w:hyperlink>
      <w:r w:rsidRPr="00082ABC">
        <w:t>)</w:t>
      </w:r>
      <w:r w:rsidRPr="00082ABC">
        <w:fldChar w:fldCharType="end"/>
      </w:r>
      <w:r w:rsidRPr="00082ABC">
        <w:t xml:space="preserve">. In the past decades, PPP has gained popularity in delivering infrastructure projects with a long-term relationship between clients and contractors </w:t>
      </w:r>
      <w:r w:rsidRPr="00082ABC">
        <w:rPr>
          <w:rFonts w:hint="eastAsia"/>
        </w:rPr>
        <w:t>d</w:t>
      </w:r>
      <w:r w:rsidRPr="00082ABC">
        <w:t xml:space="preserve">ue to </w:t>
      </w:r>
      <w:r w:rsidRPr="00082ABC">
        <w:rPr>
          <w:rFonts w:hint="eastAsia"/>
        </w:rPr>
        <w:t>its</w:t>
      </w:r>
      <w:r w:rsidRPr="00082ABC">
        <w:t xml:space="preserve"> ability to alleviate government financial pressure </w:t>
      </w:r>
      <w:r w:rsidRPr="00082ABC">
        <w:fldChar w:fldCharType="begin"/>
      </w:r>
      <w:r w:rsidRPr="00082ABC">
        <w:instrText xml:space="preserve"> ADDIN EN.CITE &lt;EndNote&gt;&lt;Cite&gt;&lt;Author&gt;Zou&lt;/Author&gt;&lt;Year&gt;2014&lt;/Year&gt;&lt;RecNum&gt;177&lt;/RecNum&gt;&lt;DisplayText&gt;(Zou, Kumaraswamy, Chung, &amp;amp; Wong, 2014)&lt;/DisplayText&gt;&lt;record&gt;&lt;rec-number&gt;177&lt;/rec-number&gt;&lt;foreign-keys&gt;&lt;key app="EN" db-id="wer55raw00tdvhezxfivz90jx5z2dfew9dpd" timestamp="1493598517"&gt;177&lt;/key&gt;&lt;/foreign-keys&gt;&lt;ref-type name="Journal Article"&gt;17&lt;/ref-type&gt;&lt;contributors&gt;&lt;authors&gt;&lt;author&gt;Zou, Weiwu&lt;/author&gt;&lt;author&gt;Kumaraswamy, Mohan&lt;/author&gt;&lt;author&gt;Chung, Jacky&lt;/author&gt;&lt;author&gt;Wong, James&lt;/author&gt;&lt;/authors&gt;&lt;/contributors&gt;&lt;titles&gt;&lt;title&gt;Identifying the critical success factors for relationship management in PPP projects&lt;/title&gt;&lt;secondary-title&gt;International Journal of Project Management&lt;/secondary-title&gt;&lt;/titles&gt;&lt;periodical&gt;&lt;full-title&gt;International Journal of Project Management&lt;/full-title&gt;&lt;/periodical&gt;&lt;pages&gt;265-274&lt;/pages&gt;&lt;volume&gt;32&lt;/volume&gt;&lt;number&gt;2&lt;/number&gt;&lt;dates&gt;&lt;year&gt;2014&lt;/year&gt;&lt;/dates&gt;&lt;isbn&gt;0263-7863&lt;/isbn&gt;&lt;urls&gt;&lt;/urls&gt;&lt;/record&gt;&lt;/Cite&gt;&lt;/EndNote&gt;</w:instrText>
      </w:r>
      <w:r w:rsidRPr="00082ABC">
        <w:fldChar w:fldCharType="separate"/>
      </w:r>
      <w:r w:rsidRPr="00082ABC">
        <w:t>(</w:t>
      </w:r>
      <w:hyperlink w:anchor="_ENREF_30" w:tooltip="Zou, 2014 #177" w:history="1">
        <w:r w:rsidRPr="00082ABC">
          <w:t>Zou et al., 2014</w:t>
        </w:r>
      </w:hyperlink>
      <w:r w:rsidRPr="00082ABC">
        <w:t>)</w:t>
      </w:r>
      <w:r w:rsidRPr="00082ABC">
        <w:fldChar w:fldCharType="end"/>
      </w:r>
      <w:r w:rsidRPr="00082ABC">
        <w:t xml:space="preserve">. </w:t>
      </w:r>
      <w:r w:rsidRPr="00082ABC">
        <w:rPr>
          <w:rFonts w:hint="eastAsia"/>
        </w:rPr>
        <w:t>T</w:t>
      </w:r>
      <w:r w:rsidRPr="00082ABC">
        <w:t>he broad application of PPP schemes provides the incentive of pursuing a management strategy that can increase the project efficiency in time and cost for concessionaries.</w:t>
      </w:r>
      <w:r w:rsidRPr="00082ABC">
        <w:rPr>
          <w:rFonts w:hint="eastAsia"/>
        </w:rPr>
        <w:t xml:space="preserve"> Sc</w:t>
      </w:r>
      <w:r w:rsidRPr="00082ABC">
        <w:t xml:space="preserve">holars doing research on PPP-related topics address the following issues. First, the market risks during </w:t>
      </w:r>
      <w:r w:rsidRPr="00082ABC">
        <w:rPr>
          <w:rFonts w:hint="eastAsia"/>
        </w:rPr>
        <w:t>the</w:t>
      </w:r>
      <w:r w:rsidRPr="00082ABC">
        <w:t xml:space="preserve"> concession period need to be handled and some scholars have tried to achieve a fair risk allocation</w:t>
      </w:r>
      <w:r w:rsidRPr="00082ABC">
        <w:rPr>
          <w:rFonts w:hint="eastAsia"/>
        </w:rPr>
        <w:t xml:space="preserve"> </w:t>
      </w:r>
      <w:r w:rsidRPr="00082ABC">
        <w:t xml:space="preserve">between project participants </w:t>
      </w:r>
      <w:r w:rsidRPr="00082ABC">
        <w:fldChar w:fldCharType="begin"/>
      </w:r>
      <w:r w:rsidRPr="00082ABC">
        <w:instrText xml:space="preserve"> ADDIN EN.CITE &lt;EndNote&gt;&lt;Cite&gt;&lt;Author&gt;Hwang&lt;/Author&gt;&lt;Year&gt;2013&lt;/Year&gt;&lt;RecNum&gt;210&lt;/RecNum&gt;&lt;DisplayText&gt;(Hwang, Zhao, &amp;amp; Gay, 2013)&lt;/DisplayText&gt;&lt;record&gt;&lt;rec-number&gt;210&lt;/rec-number&gt;&lt;foreign-keys&gt;&lt;key app="EN" db-id="wer55raw00tdvhezxfivz90jx5z2dfew9dpd" timestamp="1496554746"&gt;210&lt;/key&gt;&lt;/foreign-keys&gt;&lt;ref-type name="Journal Article"&gt;17&lt;/ref-type&gt;&lt;contributors&gt;&lt;authors&gt;&lt;author&gt;Hwang, Bon-Gang&lt;/author&gt;&lt;author&gt;Zhao, Xianbo&lt;/author&gt;&lt;author&gt;Gay, Mindy Jiang Shu&lt;/author&gt;&lt;/authors&gt;&lt;/contributors&gt;&lt;titles&gt;&lt;title&gt;Public private partnership projects in Singapore: Factors, critical risks and preferred risk allocation from the perspective of contractors&lt;/title&gt;&lt;secondary-title&gt;International Journal of Project Management&lt;/secondary-title&gt;&lt;/titles&gt;&lt;periodical&gt;&lt;full-title&gt;International Journal of Project Management&lt;/full-title&gt;&lt;/periodical&gt;&lt;pages&gt;424-433&lt;/pages&gt;&lt;volume&gt;31&lt;/volume&gt;&lt;number&gt;3&lt;/number&gt;&lt;dates&gt;&lt;year&gt;2013&lt;/year&gt;&lt;/dates&gt;&lt;isbn&gt;0263-7863&lt;/isbn&gt;&lt;urls&gt;&lt;/urls&gt;&lt;/record&gt;&lt;/Cite&gt;&lt;/EndNote&gt;</w:instrText>
      </w:r>
      <w:r w:rsidRPr="00082ABC">
        <w:fldChar w:fldCharType="separate"/>
      </w:r>
      <w:r w:rsidRPr="00082ABC">
        <w:t>(</w:t>
      </w:r>
      <w:hyperlink w:anchor="_ENREF_12" w:tooltip="Hwang, 2013 #210" w:history="1">
        <w:r w:rsidRPr="00082ABC">
          <w:t>Hwang et al., 2013</w:t>
        </w:r>
      </w:hyperlink>
      <w:r w:rsidRPr="00082ABC">
        <w:t>)</w:t>
      </w:r>
      <w:r w:rsidRPr="00082ABC">
        <w:fldChar w:fldCharType="end"/>
      </w:r>
      <w:r w:rsidRPr="00082ABC">
        <w:t>. Second, i</w:t>
      </w:r>
      <w:r w:rsidRPr="00082ABC">
        <w:rPr>
          <w:rFonts w:hint="eastAsia"/>
        </w:rPr>
        <w:t>t</w:t>
      </w:r>
      <w:r w:rsidRPr="00082ABC">
        <w:t xml:space="preserve"> is important to find a way to mobilize social capital participation </w:t>
      </w:r>
      <w:r w:rsidRPr="00082ABC">
        <w:fldChar w:fldCharType="begin"/>
      </w:r>
      <w:r w:rsidRPr="00082ABC">
        <w:instrText xml:space="preserve"> ADDIN EN.CITE &lt;EndNote&gt;&lt;Cite&gt;&lt;Author&gt;Liu&lt;/Author&gt;&lt;Year&gt;2016&lt;/Year&gt;&lt;RecNum&gt;211&lt;/RecNum&gt;&lt;DisplayText&gt;(Liu, Gao, Cheah, &amp;amp; Luo, 2016)&lt;/DisplayText&gt;&lt;record&gt;&lt;rec-number&gt;211&lt;/rec-number&gt;&lt;foreign-keys&gt;&lt;key app="EN" db-id="wer55raw00tdvhezxfivz90jx5z2dfew9dpd" timestamp="1496554832"&gt;211&lt;/key&gt;&lt;/foreign-keys&gt;&lt;ref-type name="Journal Article"&gt;17&lt;/ref-type&gt;&lt;contributors&gt;&lt;authors&gt;&lt;author&gt;Liu, Jicai&lt;/author&gt;&lt;author&gt;Gao, Ruolan&lt;/author&gt;&lt;author&gt;Cheah, Charles YJ&lt;/author&gt;&lt;author&gt;Luo, Jian&lt;/author&gt;&lt;/authors&gt;&lt;/contributors&gt;&lt;titles&gt;&lt;title&gt;Incentive mechanism for inhibiting investors&amp;apos; opportunistic behavior in PPP projects&lt;/title&gt;&lt;secondary-title&gt;International Journal of Project Management&lt;/secondary-title&gt;&lt;/titles&gt;&lt;periodical&gt;&lt;full-title&gt;International Journal of Project Management&lt;/full-title&gt;&lt;/periodical&gt;&lt;pages&gt;1102-1111&lt;/pages&gt;&lt;volume&gt;34&lt;/volume&gt;&lt;number&gt;7&lt;/number&gt;&lt;dates&gt;&lt;year&gt;2016&lt;/year&gt;&lt;/dates&gt;&lt;isbn&gt;0263-7863&lt;/isbn&gt;&lt;urls&gt;&lt;/urls&gt;&lt;/record&gt;&lt;/Cite&gt;&lt;/EndNote&gt;</w:instrText>
      </w:r>
      <w:r w:rsidRPr="00082ABC">
        <w:fldChar w:fldCharType="separate"/>
      </w:r>
      <w:r w:rsidRPr="00082ABC">
        <w:t>(</w:t>
      </w:r>
      <w:hyperlink w:anchor="_ENREF_18" w:tooltip="Liu, 2016 #211" w:history="1">
        <w:r w:rsidRPr="00082ABC">
          <w:t>Liu et al., 2016</w:t>
        </w:r>
      </w:hyperlink>
      <w:r w:rsidRPr="00082ABC">
        <w:t>)</w:t>
      </w:r>
      <w:r w:rsidRPr="00082ABC">
        <w:fldChar w:fldCharType="end"/>
      </w:r>
      <w:r w:rsidRPr="00082ABC">
        <w:t xml:space="preserve">. Third, if the market surroundings fluctuate to an unfavourable position </w:t>
      </w:r>
      <w:r w:rsidRPr="00082ABC">
        <w:rPr>
          <w:rFonts w:hint="eastAsia"/>
        </w:rPr>
        <w:t>or</w:t>
      </w:r>
      <w:r w:rsidRPr="00082ABC">
        <w:t xml:space="preserve"> there is force majeure, the way to facilitate </w:t>
      </w:r>
      <w:r w:rsidRPr="00082ABC">
        <w:rPr>
          <w:rFonts w:hint="eastAsia"/>
        </w:rPr>
        <w:t>social c</w:t>
      </w:r>
      <w:r w:rsidRPr="00082ABC">
        <w:t xml:space="preserve">apital exit while minimising the influence on governments is still an open question </w:t>
      </w:r>
      <w:r w:rsidRPr="00082ABC">
        <w:fldChar w:fldCharType="begin"/>
      </w:r>
      <w:r w:rsidRPr="00082ABC">
        <w:instrText xml:space="preserve"> ADDIN EN.CITE &lt;EndNote&gt;&lt;Cite&gt;&lt;Author&gt;Nuer&lt;/Author&gt;&lt;Year&gt;2015&lt;/Year&gt;&lt;RecNum&gt;216&lt;/RecNum&gt;&lt;DisplayText&gt;(Nuer, 2015)&lt;/DisplayText&gt;&lt;record&gt;&lt;rec-number&gt;216&lt;/rec-number&gt;&lt;foreign-keys&gt;&lt;key app="EN" db-id="wer55raw00tdvhezxfivz90jx5z2dfew9dpd" timestamp="1496555878"&gt;216&lt;/key&gt;&lt;/foreign-keys&gt;&lt;ref-type name="Book"&gt;6&lt;/ref-type&gt;&lt;contributors&gt;&lt;authors&gt;&lt;author&gt;Nuer, Alexander Tetteh Kwasi&lt;/author&gt;&lt;/authors&gt;&lt;/contributors&gt;&lt;titles&gt;&lt;title&gt;Exit strategies for social venture entrepreneurs&lt;/title&gt;&lt;/titles&gt;&lt;dates&gt;&lt;year&gt;2015&lt;/year&gt;&lt;/dates&gt;&lt;publisher&gt;Wageningen University&lt;/publisher&gt;&lt;isbn&gt;9462575681&lt;/isbn&gt;&lt;urls&gt;&lt;/urls&gt;&lt;/record&gt;&lt;/Cite&gt;&lt;/EndNote&gt;</w:instrText>
      </w:r>
      <w:r w:rsidRPr="00082ABC">
        <w:fldChar w:fldCharType="separate"/>
      </w:r>
      <w:r w:rsidRPr="00082ABC">
        <w:t>(</w:t>
      </w:r>
      <w:hyperlink w:anchor="_ENREF_20" w:tooltip="Nuer, 2015 #216" w:history="1">
        <w:r w:rsidRPr="00082ABC">
          <w:t>Nuer, 2015</w:t>
        </w:r>
      </w:hyperlink>
      <w:r w:rsidRPr="00082ABC">
        <w:t>)</w:t>
      </w:r>
      <w:r w:rsidRPr="00082ABC">
        <w:fldChar w:fldCharType="end"/>
      </w:r>
      <w:r w:rsidRPr="00082ABC">
        <w:t>.</w:t>
      </w:r>
      <w:r w:rsidRPr="00082ABC">
        <w:rPr>
          <w:rFonts w:hint="eastAsia"/>
        </w:rPr>
        <w:t xml:space="preserve"> </w:t>
      </w:r>
      <w:r w:rsidRPr="00082ABC">
        <w:t>However, the premise in analysing</w:t>
      </w:r>
      <w:r w:rsidRPr="00082ABC">
        <w:rPr>
          <w:rFonts w:hint="eastAsia"/>
        </w:rPr>
        <w:t xml:space="preserve"> </w:t>
      </w:r>
      <w:r w:rsidRPr="00082ABC">
        <w:t xml:space="preserve">all these problems is to determine the </w:t>
      </w:r>
      <w:r w:rsidRPr="00082ABC">
        <w:rPr>
          <w:rFonts w:hint="eastAsia"/>
        </w:rPr>
        <w:t>specific</w:t>
      </w:r>
      <w:r w:rsidRPr="00082ABC">
        <w:t xml:space="preserve"> attributes value of the PPP project, e.g. concession pricing, concession period and minimum revenue guarantee</w:t>
      </w:r>
      <w:r w:rsidR="006D151A">
        <w:t>.</w:t>
      </w:r>
    </w:p>
    <w:p w:rsidR="00B15FC5" w:rsidRDefault="00B15FC5" w:rsidP="00082ABC"/>
    <w:p w:rsidR="00B15FC5" w:rsidRPr="00082ABC" w:rsidRDefault="00B15FC5" w:rsidP="00082ABC">
      <w:r w:rsidRPr="00082ABC">
        <w:rPr>
          <w:rFonts w:hint="eastAsia"/>
        </w:rPr>
        <w:t>This</w:t>
      </w:r>
      <w:r w:rsidRPr="00082ABC">
        <w:t xml:space="preserve"> paper focuses on the determination methodology for the length of the concession</w:t>
      </w:r>
    </w:p>
    <w:p w:rsidR="00082ABC" w:rsidRPr="00082ABC" w:rsidRDefault="00082ABC" w:rsidP="00082ABC">
      <w:r w:rsidRPr="00082ABC">
        <w:lastRenderedPageBreak/>
        <w:t xml:space="preserve">period. </w:t>
      </w:r>
      <w:r w:rsidRPr="00082ABC">
        <w:rPr>
          <w:rFonts w:hint="eastAsia"/>
        </w:rPr>
        <w:t xml:space="preserve">The </w:t>
      </w:r>
      <w:r w:rsidRPr="00082ABC">
        <w:t>concession period</w:t>
      </w:r>
      <w:r w:rsidRPr="00082ABC">
        <w:rPr>
          <w:rFonts w:hint="eastAsia"/>
        </w:rPr>
        <w:t xml:space="preserve"> </w:t>
      </w:r>
      <w:r w:rsidRPr="00082ABC">
        <w:t xml:space="preserve">as one of the most important parameters is usually </w:t>
      </w:r>
      <w:r w:rsidRPr="00082ABC">
        <w:rPr>
          <w:rFonts w:hint="eastAsia"/>
        </w:rPr>
        <w:t>set</w:t>
      </w:r>
      <w:r w:rsidRPr="00082ABC">
        <w:t xml:space="preserve"> as a default that is the same length as in similar projects </w:t>
      </w:r>
      <w:r w:rsidRPr="00082ABC">
        <w:fldChar w:fldCharType="begin"/>
      </w:r>
      <w:r w:rsidRPr="00082ABC">
        <w:instrText xml:space="preserve"> ADDIN EN.CITE &lt;EndNote&gt;&lt;Cite&gt;&lt;Author&gt;Song&lt;/Author&gt;&lt;Year&gt;2015&lt;/Year&gt;&lt;RecNum&gt;212&lt;/RecNum&gt;&lt;DisplayText&gt;(Song, Song, &amp;amp; Zhang, 2015)&lt;/DisplayText&gt;&lt;record&gt;&lt;rec-number&gt;212&lt;/rec-number&gt;&lt;foreign-keys&gt;&lt;key app="EN" db-id="wer55raw00tdvhezxfivz90jx5z2dfew9dpd" timestamp="1496555104"&gt;212&lt;/key&gt;&lt;/foreign-keys&gt;&lt;ref-type name="Journal Article"&gt;17&lt;/ref-type&gt;&lt;contributors&gt;&lt;authors&gt;&lt;author&gt;Song, Jinbo&lt;/author&gt;&lt;author&gt;Song, Danrong&lt;/author&gt;&lt;author&gt;Zhang, Danlin&lt;/author&gt;&lt;/authors&gt;&lt;/contributors&gt;&lt;titles&gt;&lt;title&gt;Modeling the concession period and subsidy for bot waste-to-energy incineration projects&lt;/title&gt;&lt;secondary-title&gt;Journal of Construction Engineering and Management&lt;/secondary-title&gt;&lt;/titles&gt;&lt;periodical&gt;&lt;full-title&gt;Journal of Construction Engineering and Management&lt;/full-title&gt;&lt;/periodical&gt;&lt;pages&gt;04015033&lt;/pages&gt;&lt;volume&gt;141&lt;/volume&gt;&lt;number&gt;10&lt;/number&gt;&lt;dates&gt;&lt;year&gt;2015&lt;/year&gt;&lt;/dates&gt;&lt;isbn&gt;0733-9364&lt;/isbn&gt;&lt;urls&gt;&lt;/urls&gt;&lt;/record&gt;&lt;/Cite&gt;&lt;/EndNote&gt;</w:instrText>
      </w:r>
      <w:r w:rsidRPr="00082ABC">
        <w:fldChar w:fldCharType="separate"/>
      </w:r>
      <w:r w:rsidRPr="00082ABC">
        <w:t>(</w:t>
      </w:r>
      <w:hyperlink w:anchor="_ENREF_23" w:tooltip="Song, 2015 #212" w:history="1">
        <w:r w:rsidRPr="00082ABC">
          <w:t>Song et al., 2015</w:t>
        </w:r>
      </w:hyperlink>
      <w:r w:rsidRPr="00082ABC">
        <w:t>)</w:t>
      </w:r>
      <w:r w:rsidRPr="00082ABC">
        <w:fldChar w:fldCharType="end"/>
      </w:r>
      <w:r w:rsidRPr="00082ABC">
        <w:t xml:space="preserve"> or decided</w:t>
      </w:r>
      <w:r w:rsidRPr="00082ABC">
        <w:rPr>
          <w:rFonts w:hint="eastAsia"/>
        </w:rPr>
        <w:t xml:space="preserve"> just</w:t>
      </w:r>
      <w:r w:rsidRPr="00082ABC">
        <w:t xml:space="preserve"> based on the experts’ experience </w:t>
      </w:r>
      <w:r w:rsidRPr="00082ABC">
        <w:fldChar w:fldCharType="begin"/>
      </w:r>
      <w:r w:rsidRPr="00082ABC">
        <w:instrText xml:space="preserve"> ADDIN EN.CITE &lt;EndNote&gt;&lt;Cite&gt;&lt;Author&gt;Khanzadi&lt;/Author&gt;&lt;Year&gt;2012&lt;/Year&gt;&lt;RecNum&gt;183&lt;/RecNum&gt;&lt;DisplayText&gt;(Khanzadi, Nasirzadeh, &amp;amp; Alipour, 2012)&lt;/DisplayText&gt;&lt;record&gt;&lt;rec-number&gt;183&lt;/rec-number&gt;&lt;foreign-keys&gt;&lt;key app="EN" db-id="wer55raw00tdvhezxfivz90jx5z2dfew9dpd" timestamp="1493607117"&gt;183&lt;/key&gt;&lt;/foreign-keys&gt;&lt;ref-type name="Journal Article"&gt;17&lt;/ref-type&gt;&lt;contributors&gt;&lt;authors&gt;&lt;author&gt;Khanzadi, Mostafa&lt;/author&gt;&lt;author&gt;Nasirzadeh, Farnad&lt;/author&gt;&lt;author&gt;Alipour, Majid&lt;/author&gt;&lt;/authors&gt;&lt;/contributors&gt;&lt;titles&gt;&lt;title&gt;Integrating system dynamics and fuzzy logic modeling to determine concession period in BOT projects&lt;/title&gt;&lt;secondary-title&gt;Automation in construction&lt;/secondary-title&gt;&lt;/titles&gt;&lt;periodical&gt;&lt;full-title&gt;Automation in Construction&lt;/full-title&gt;&lt;/periodical&gt;&lt;pages&gt;368-376&lt;/pages&gt;&lt;volume&gt;22&lt;/volume&gt;&lt;dates&gt;&lt;year&gt;2012&lt;/year&gt;&lt;/dates&gt;&lt;isbn&gt;0926-5805&lt;/isbn&gt;&lt;urls&gt;&lt;/urls&gt;&lt;/record&gt;&lt;/Cite&gt;&lt;/EndNote&gt;</w:instrText>
      </w:r>
      <w:r w:rsidRPr="00082ABC">
        <w:fldChar w:fldCharType="separate"/>
      </w:r>
      <w:r w:rsidRPr="00082ABC">
        <w:t>(</w:t>
      </w:r>
      <w:hyperlink w:anchor="_ENREF_14" w:tooltip="Khanzadi, 2012 #183" w:history="1">
        <w:r w:rsidRPr="00082ABC">
          <w:t>Khanzadi et al., 2012</w:t>
        </w:r>
      </w:hyperlink>
      <w:r w:rsidRPr="00082ABC">
        <w:t>)</w:t>
      </w:r>
      <w:r w:rsidRPr="00082ABC">
        <w:fldChar w:fldCharType="end"/>
      </w:r>
      <w:r w:rsidRPr="00082ABC">
        <w:t xml:space="preserve">. However, these practices tend to encourage project early termination, since they neglect the fact that market surroundings can be significantly different in different projects, which implies that the concession period should be </w:t>
      </w:r>
      <w:r w:rsidRPr="00082ABC">
        <w:rPr>
          <w:rFonts w:hint="eastAsia"/>
        </w:rPr>
        <w:t>decided in</w:t>
      </w:r>
      <w:r w:rsidRPr="00082ABC">
        <w:t>dependently even for similar projects. This research aim to find a method that c</w:t>
      </w:r>
      <w:r w:rsidRPr="00082ABC">
        <w:rPr>
          <w:rFonts w:hint="eastAsia"/>
        </w:rPr>
        <w:t>an</w:t>
      </w:r>
      <w:r w:rsidRPr="00082ABC">
        <w:t xml:space="preserve"> calculate the optimal concession period considering conditions of the market environment. The aim in </w:t>
      </w:r>
      <w:r w:rsidRPr="00082ABC">
        <w:rPr>
          <w:rFonts w:hint="eastAsia"/>
        </w:rPr>
        <w:t>d</w:t>
      </w:r>
      <w:r w:rsidRPr="00082ABC">
        <w:t xml:space="preserve">etermining the concession period is to achieve risk control between governments and private investors and ensure that the private investor can gain its expected investment return under the </w:t>
      </w:r>
      <w:r w:rsidRPr="00082ABC">
        <w:rPr>
          <w:rFonts w:hint="eastAsia"/>
        </w:rPr>
        <w:t>limit</w:t>
      </w:r>
      <w:r w:rsidRPr="00082ABC">
        <w:t>ation of the revenue cap set by the governments.</w:t>
      </w:r>
    </w:p>
    <w:p w:rsidR="00082ABC" w:rsidRPr="00082ABC" w:rsidRDefault="00082ABC" w:rsidP="00082ABC"/>
    <w:p w:rsidR="00082ABC" w:rsidRPr="00082ABC" w:rsidRDefault="00082ABC" w:rsidP="00082ABC">
      <w:r w:rsidRPr="00082ABC">
        <w:t xml:space="preserve">Many concession period models are designed following the </w:t>
      </w:r>
      <w:r w:rsidRPr="00082ABC">
        <w:rPr>
          <w:rFonts w:hint="eastAsia"/>
        </w:rPr>
        <w:t>p</w:t>
      </w:r>
      <w:r w:rsidRPr="00082ABC">
        <w:t>rinciple that the concession period should be long enough to guarantee that the private investors c</w:t>
      </w:r>
      <w:r w:rsidRPr="00082ABC">
        <w:rPr>
          <w:rFonts w:hint="eastAsia"/>
        </w:rPr>
        <w:t>an</w:t>
      </w:r>
      <w:r w:rsidRPr="00082ABC">
        <w:t xml:space="preserve"> reclaim their money through revenue in the operational stage. Hence, net present value (NPV) estimation is used to construct the core of these models. For example, </w:t>
      </w:r>
      <w:hyperlink w:anchor="_ENREF_10" w:tooltip="Hanaoka, 2012 #185" w:history="1">
        <w:r w:rsidRPr="00082ABC">
          <w:fldChar w:fldCharType="begin"/>
        </w:r>
        <w:r w:rsidRPr="00082ABC">
          <w:instrText xml:space="preserve"> ADDIN EN.CITE &lt;EndNote&gt;&lt;Cite AuthorYear="1"&gt;&lt;Author&gt;Hanaoka&lt;/Author&gt;&lt;Year&gt;2012&lt;/Year&gt;&lt;RecNum&gt;185&lt;/RecNum&gt;&lt;DisplayText&gt;Hanaoka and Palapus (2012)&lt;/DisplayText&gt;&lt;record&gt;&lt;rec-number&gt;185&lt;/rec-number&gt;&lt;foreign-keys&gt;&lt;key app="EN" db-id="wer55raw00tdvhezxfivz90jx5z2dfew9dpd" timestamp="1493610277"&gt;185&lt;/key&gt;&lt;/foreign-keys&gt;&lt;ref-type name="Journal Article"&gt;17&lt;/ref-type&gt;&lt;contributors&gt;&lt;authors&gt;&lt;author&gt;Hanaoka, Shinya&lt;/author&gt;&lt;author&gt;Palapus, Hazel Perez&lt;/author&gt;&lt;/authors&gt;&lt;/contributors&gt;&lt;titles&gt;&lt;title&gt;Reasonable concession period for build-operate-transfer road projects in the Philippines&lt;/title&gt;&lt;secondary-title&gt;International Journal of Project Management&lt;/secondary-title&gt;&lt;/titles&gt;&lt;periodical&gt;&lt;full-title&gt;International Journal of Project Management&lt;/full-title&gt;&lt;/periodical&gt;&lt;pages&gt;938-949&lt;/pages&gt;&lt;volume&gt;30&lt;/volume&gt;&lt;number&gt;8&lt;/number&gt;&lt;dates&gt;&lt;year&gt;2012&lt;/year&gt;&lt;/dates&gt;&lt;isbn&gt;0263-7863&lt;/isbn&gt;&lt;urls&gt;&lt;/urls&gt;&lt;/record&gt;&lt;/Cite&gt;&lt;/EndNote&gt;</w:instrText>
        </w:r>
        <w:r w:rsidRPr="00082ABC">
          <w:fldChar w:fldCharType="separate"/>
        </w:r>
        <w:r w:rsidRPr="00082ABC">
          <w:t>Hanaoka and Palapus (2012)</w:t>
        </w:r>
        <w:r w:rsidRPr="00082ABC">
          <w:fldChar w:fldCharType="end"/>
        </w:r>
      </w:hyperlink>
      <w:r w:rsidRPr="00082ABC">
        <w:t xml:space="preserve"> calculated the concession period based on the NPV for two build-operate-transfer road projects and used the Monte Carlo simulation as well as bargaining game theory to find the optimal project transfer point. </w:t>
      </w:r>
      <w:hyperlink w:anchor="_ENREF_5" w:tooltip="Carbonara, 2014 #172" w:history="1">
        <w:r w:rsidRPr="00082ABC">
          <w:fldChar w:fldCharType="begin"/>
        </w:r>
        <w:r w:rsidRPr="00082ABC">
          <w:instrText xml:space="preserve"> ADDIN EN.CITE &lt;EndNote&gt;&lt;Cite AuthorYear="1"&gt;&lt;Author&gt;Carbonara&lt;/Author&gt;&lt;Year&gt;2014&lt;/Year&gt;&lt;RecNum&gt;172&lt;/RecNum&gt;&lt;DisplayText&gt;Carbonara, Costantino, and Pellegrino (2014a)&lt;/DisplayText&gt;&lt;record&gt;&lt;rec-number&gt;172&lt;/rec-number&gt;&lt;foreign-keys&gt;&lt;key app="EN" db-id="wer55raw00tdvhezxfivz90jx5z2dfew9dpd" timestamp="1492419467"&gt;172&lt;/key&gt;&lt;key app="ENWeb" db-id=""&gt;0&lt;/key&gt;&lt;/foreign-keys&gt;&lt;ref-type name="Journal Article"&gt;17&lt;/ref-type&gt;&lt;contributors&gt;&lt;authors&gt;&lt;author&gt;Carbonara, Nunzia&lt;/author&gt;&lt;author&gt;Costantino, Nicola&lt;/author&gt;&lt;author&gt;Pellegrino, Roberta&lt;/author&gt;&lt;/authors&gt;&lt;/contributors&gt;&lt;titles&gt;&lt;title&gt;Concession period for PPPs: A win–win model for a fair risk sharing&lt;/title&gt;&lt;secondary-title&gt;International Journal of Project Management&lt;/secondary-title&gt;&lt;/titles&gt;&lt;periodical&gt;&lt;full-title&gt;International Journal of Project Management&lt;/full-title&gt;&lt;/periodical&gt;&lt;pages&gt;1223-1232&lt;/pages&gt;&lt;volume&gt;32&lt;/volume&gt;&lt;number&gt;7&lt;/number&gt;&lt;dates&gt;&lt;year&gt;2014&lt;/year&gt;&lt;/dates&gt;&lt;isbn&gt;02637863&lt;/isbn&gt;&lt;urls&gt;&lt;/urls&gt;&lt;/record&gt;&lt;/Cite&gt;&lt;/EndNote&gt;</w:instrText>
        </w:r>
        <w:r w:rsidRPr="00082ABC">
          <w:fldChar w:fldCharType="separate"/>
        </w:r>
        <w:r w:rsidRPr="00082ABC">
          <w:t>Carbonara et al. (2014)</w:t>
        </w:r>
        <w:r w:rsidRPr="00082ABC">
          <w:fldChar w:fldCharType="end"/>
        </w:r>
      </w:hyperlink>
      <w:r w:rsidRPr="00082ABC">
        <w:t xml:space="preserve"> developed a win-win model to take government profit into consideration. However, NPV analysis tends to neglect the option value of the project. The project manager holds the right to make decisions on the project activities and the decision choices create different types of option values for the project. Previous studies showed that the range of option values can be enormous and can affect investment decisions </w:t>
      </w:r>
      <w:r w:rsidRPr="00082ABC">
        <w:fldChar w:fldCharType="begin">
          <w:fldData xml:space="preserve">PEVuZE5vdGU+PENpdGU+PEF1dGhvcj5ZZW88L0F1dGhvcj48WWVhcj4yMDAzPC9ZZWFyPjxSZWNO
dW0+MTg3PC9SZWNOdW0+PERpc3BsYXlUZXh0PihCZXJnZXIsIE9mZWssICZhbXA7IFN3YXJ5LCAx
OTk2OyBEaXhpdCAmYW1wOyBQaW5keWNrLCAxOTk0OyBZZW8gJmFtcDsgUWl1LCAyMDAzKTwvRGlz
cGxheVRleHQ+PHJlY29yZD48cmVjLW51bWJlcj4xODc8L3JlYy1udW1iZXI+PGZvcmVpZ24ta2V5
cz48a2V5IGFwcD0iRU4iIGRiLWlkPSJ3ZXI1NXJhdzAwdGR2aGV6eGZpdno5MGp4NXoyZGZldzlk
cGQiIHRpbWVzdGFtcD0iMTQ5MzYxMTYyOCI+MTg3PC9rZXk+PC9mb3JlaWduLWtleXM+PHJlZi10
eXBlIG5hbWU9IkpvdXJuYWwgQXJ0aWNsZSI+MTc8L3JlZi10eXBlPjxjb250cmlidXRvcnM+PGF1
dGhvcnM+PGF1dGhvcj5ZZW8sIEtUPC9hdXRob3I+PGF1dGhvcj5RaXUsIEZhc2hlbmc8L2F1dGhv
cj48L2F1dGhvcnM+PC9jb250cmlidXRvcnM+PHRpdGxlcz48dGl0bGU+VGhlIHZhbHVlIG9mIG1h
bmFnZW1lbnQgZmxleGliaWxpdHnigJRhIHJlYWwgb3B0aW9uIGFwcHJvYWNoIHRvIGludmVzdG1l
bnQgZXZhbHVhdGlvbjwvdGl0bGU+PHNlY29uZGFyeS10aXRsZT5JbnRlcm5hdGlvbmFsIGpvdXJu
YWwgb2YgcHJvamVjdCBtYW5hZ2VtZW50PC9zZWNvbmRhcnktdGl0bGU+PC90aXRsZXM+PHBlcmlv
ZGljYWw+PGZ1bGwtdGl0bGU+SW50ZXJuYXRpb25hbCBKb3VybmFsIG9mIFByb2plY3QgTWFuYWdl
bWVudDwvZnVsbC10aXRsZT48L3BlcmlvZGljYWw+PHBhZ2VzPjI0My0yNTA8L3BhZ2VzPjx2b2x1
bWU+MjE8L3ZvbHVtZT48bnVtYmVyPjQ8L251bWJlcj48ZGF0ZXM+PHllYXI+MjAwMzwveWVhcj48
L2RhdGVzPjxpc2JuPjAyNjMtNzg2MzwvaXNibj48dXJscz48L3VybHM+PC9yZWNvcmQ+PC9DaXRl
PjxDaXRlPjxBdXRob3I+RGl4aXQ8L0F1dGhvcj48WWVhcj4xOTk0PC9ZZWFyPjxSZWNOdW0+MTg4
PC9SZWNOdW0+PHJlY29yZD48cmVjLW51bWJlcj4xODg8L3JlYy1udW1iZXI+PGZvcmVpZ24ta2V5
cz48a2V5IGFwcD0iRU4iIGRiLWlkPSJ3ZXI1NXJhdzAwdGR2aGV6eGZpdno5MGp4NXoyZGZldzlk
cGQiIHRpbWVzdGFtcD0iMTQ5MzYxMTY2MiI+MTg4PC9rZXk+PC9mb3JlaWduLWtleXM+PHJlZi10
eXBlIG5hbWU9IkJvb2siPjY8L3JlZi10eXBlPjxjb250cmlidXRvcnM+PGF1dGhvcnM+PGF1dGhv
cj5EaXhpdCwgQXZpbmFzaCBLPC9hdXRob3I+PGF1dGhvcj5QaW5keWNrLCBSb2JlcnQgUzwvYXV0
aG9yPjwvYXV0aG9ycz48L2NvbnRyaWJ1dG9ycz48dGl0bGVzPjx0aXRsZT5JbnZlc3RtZW50IHVu
ZGVyIHVuY2VydGFpbnR5PC90aXRsZT48L3RpdGxlcz48ZGF0ZXM+PHllYXI+MTk5NDwveWVhcj48
L2RhdGVzPjxwdWItbG9jYXRpb24+UHJpbmNldG9uLCBVU0E8L3B1Yi1sb2NhdGlvbj48cHVibGlz
aGVyPlByaW5jZXRvbiB1bml2ZXJzaXR5IHByZXNzPC9wdWJsaXNoZXI+PG9yaWctcHViPlByaW5j
ZXRvbiwgVVNBPC9vcmlnLXB1Yj48aXNibj4wNjkxMDM0MTA5PC9pc2JuPjx1cmxzPjwvdXJscz48
L3JlY29yZD48L0NpdGU+PENpdGU+PEF1dGhvcj5CZXJnZXI8L0F1dGhvcj48WWVhcj4xOTk2PC9Z
ZWFyPjxSZWNOdW0+MTg2PC9SZWNOdW0+PHJlY29yZD48cmVjLW51bWJlcj4xODY8L3JlYy1udW1i
ZXI+PGZvcmVpZ24ta2V5cz48a2V5IGFwcD0iRU4iIGRiLWlkPSJ3ZXI1NXJhdzAwdGR2aGV6eGZp
dno5MGp4NXoyZGZldzlkcGQiIHRpbWVzdGFtcD0iMTQ5MzYxMTYwMiI+MTg2PC9rZXk+PC9mb3Jl
aWduLWtleXM+PHJlZi10eXBlIG5hbWU9IkpvdXJuYWwgQXJ0aWNsZSI+MTc8L3JlZi10eXBlPjxj
b250cmlidXRvcnM+PGF1dGhvcnM+PGF1dGhvcj5CZXJnZXIsIFBoaWxpcCBHPC9hdXRob3I+PGF1
dGhvcj5PZmVrLCBFbGk8L2F1dGhvcj48YXV0aG9yPlN3YXJ5LCBJdHpoYWs8L2F1dGhvcj48L2F1
dGhvcnM+PC9jb250cmlidXRvcnM+PHRpdGxlcz48dGl0bGU+SW52ZXN0b3IgdmFsdWF0aW9uIG9m
IHRoZSBhYmFuZG9ubWVudCBvcHRpb248L3RpdGxlPjxzZWNvbmRhcnktdGl0bGU+Sm91cm5hbCBv
ZiBmaW5hbmNpYWwgZWNvbm9taWNzPC9zZWNvbmRhcnktdGl0bGU+PC90aXRsZXM+PHBlcmlvZGlj
YWw+PGZ1bGwtdGl0bGU+Sm91cm5hbCBvZiBmaW5hbmNpYWwgZWNvbm9taWNzPC9mdWxsLXRpdGxl
PjwvcGVyaW9kaWNhbD48cGFnZXM+MjU3LTI4NzwvcGFnZXM+PHZvbHVtZT40Mjwvdm9sdW1lPjxu
dW1iZXI+MjwvbnVtYmVyPjxkYXRlcz48eWVhcj4xOTk2PC95ZWFyPjwvZGF0ZXM+PGlzYm4+MDMw
NC00MDVYPC9pc2JuPjx1cmxzPjwvdXJscz48L3JlY29yZD48L0NpdGU+PC9FbmROb3RlPn==
</w:fldData>
        </w:fldChar>
      </w:r>
      <w:r w:rsidRPr="00082ABC">
        <w:instrText xml:space="preserve"> ADDIN EN.CITE </w:instrText>
      </w:r>
      <w:r w:rsidRPr="00082ABC">
        <w:fldChar w:fldCharType="begin">
          <w:fldData xml:space="preserve">PEVuZE5vdGU+PENpdGU+PEF1dGhvcj5ZZW88L0F1dGhvcj48WWVhcj4yMDAzPC9ZZWFyPjxSZWNO
dW0+MTg3PC9SZWNOdW0+PERpc3BsYXlUZXh0PihCZXJnZXIsIE9mZWssICZhbXA7IFN3YXJ5LCAx
OTk2OyBEaXhpdCAmYW1wOyBQaW5keWNrLCAxOTk0OyBZZW8gJmFtcDsgUWl1LCAyMDAzKTwvRGlz
cGxheVRleHQ+PHJlY29yZD48cmVjLW51bWJlcj4xODc8L3JlYy1udW1iZXI+PGZvcmVpZ24ta2V5
cz48a2V5IGFwcD0iRU4iIGRiLWlkPSJ3ZXI1NXJhdzAwdGR2aGV6eGZpdno5MGp4NXoyZGZldzlk
cGQiIHRpbWVzdGFtcD0iMTQ5MzYxMTYyOCI+MTg3PC9rZXk+PC9mb3JlaWduLWtleXM+PHJlZi10
eXBlIG5hbWU9IkpvdXJuYWwgQXJ0aWNsZSI+MTc8L3JlZi10eXBlPjxjb250cmlidXRvcnM+PGF1
dGhvcnM+PGF1dGhvcj5ZZW8sIEtUPC9hdXRob3I+PGF1dGhvcj5RaXUsIEZhc2hlbmc8L2F1dGhv
cj48L2F1dGhvcnM+PC9jb250cmlidXRvcnM+PHRpdGxlcz48dGl0bGU+VGhlIHZhbHVlIG9mIG1h
bmFnZW1lbnQgZmxleGliaWxpdHnigJRhIHJlYWwgb3B0aW9uIGFwcHJvYWNoIHRvIGludmVzdG1l
bnQgZXZhbHVhdGlvbjwvdGl0bGU+PHNlY29uZGFyeS10aXRsZT5JbnRlcm5hdGlvbmFsIGpvdXJu
YWwgb2YgcHJvamVjdCBtYW5hZ2VtZW50PC9zZWNvbmRhcnktdGl0bGU+PC90aXRsZXM+PHBlcmlv
ZGljYWw+PGZ1bGwtdGl0bGU+SW50ZXJuYXRpb25hbCBKb3VybmFsIG9mIFByb2plY3QgTWFuYWdl
bWVudDwvZnVsbC10aXRsZT48L3BlcmlvZGljYWw+PHBhZ2VzPjI0My0yNTA8L3BhZ2VzPjx2b2x1
bWU+MjE8L3ZvbHVtZT48bnVtYmVyPjQ8L251bWJlcj48ZGF0ZXM+PHllYXI+MjAwMzwveWVhcj48
L2RhdGVzPjxpc2JuPjAyNjMtNzg2MzwvaXNibj48dXJscz48L3VybHM+PC9yZWNvcmQ+PC9DaXRl
PjxDaXRlPjxBdXRob3I+RGl4aXQ8L0F1dGhvcj48WWVhcj4xOTk0PC9ZZWFyPjxSZWNOdW0+MTg4
PC9SZWNOdW0+PHJlY29yZD48cmVjLW51bWJlcj4xODg8L3JlYy1udW1iZXI+PGZvcmVpZ24ta2V5
cz48a2V5IGFwcD0iRU4iIGRiLWlkPSJ3ZXI1NXJhdzAwdGR2aGV6eGZpdno5MGp4NXoyZGZldzlk
cGQiIHRpbWVzdGFtcD0iMTQ5MzYxMTY2MiI+MTg4PC9rZXk+PC9mb3JlaWduLWtleXM+PHJlZi10
eXBlIG5hbWU9IkJvb2siPjY8L3JlZi10eXBlPjxjb250cmlidXRvcnM+PGF1dGhvcnM+PGF1dGhv
cj5EaXhpdCwgQXZpbmFzaCBLPC9hdXRob3I+PGF1dGhvcj5QaW5keWNrLCBSb2JlcnQgUzwvYXV0
aG9yPjwvYXV0aG9ycz48L2NvbnRyaWJ1dG9ycz48dGl0bGVzPjx0aXRsZT5JbnZlc3RtZW50IHVu
ZGVyIHVuY2VydGFpbnR5PC90aXRsZT48L3RpdGxlcz48ZGF0ZXM+PHllYXI+MTk5NDwveWVhcj48
L2RhdGVzPjxwdWItbG9jYXRpb24+UHJpbmNldG9uLCBVU0E8L3B1Yi1sb2NhdGlvbj48cHVibGlz
aGVyPlByaW5jZXRvbiB1bml2ZXJzaXR5IHByZXNzPC9wdWJsaXNoZXI+PG9yaWctcHViPlByaW5j
ZXRvbiwgVVNBPC9vcmlnLXB1Yj48aXNibj4wNjkxMDM0MTA5PC9pc2JuPjx1cmxzPjwvdXJscz48
L3JlY29yZD48L0NpdGU+PENpdGU+PEF1dGhvcj5CZXJnZXI8L0F1dGhvcj48WWVhcj4xOTk2PC9Z
ZWFyPjxSZWNOdW0+MTg2PC9SZWNOdW0+PHJlY29yZD48cmVjLW51bWJlcj4xODY8L3JlYy1udW1i
ZXI+PGZvcmVpZ24ta2V5cz48a2V5IGFwcD0iRU4iIGRiLWlkPSJ3ZXI1NXJhdzAwdGR2aGV6eGZp
dno5MGp4NXoyZGZldzlkcGQiIHRpbWVzdGFtcD0iMTQ5MzYxMTYwMiI+MTg2PC9rZXk+PC9mb3Jl
aWduLWtleXM+PHJlZi10eXBlIG5hbWU9IkpvdXJuYWwgQXJ0aWNsZSI+MTc8L3JlZi10eXBlPjxj
b250cmlidXRvcnM+PGF1dGhvcnM+PGF1dGhvcj5CZXJnZXIsIFBoaWxpcCBHPC9hdXRob3I+PGF1
dGhvcj5PZmVrLCBFbGk8L2F1dGhvcj48YXV0aG9yPlN3YXJ5LCBJdHpoYWs8L2F1dGhvcj48L2F1
dGhvcnM+PC9jb250cmlidXRvcnM+PHRpdGxlcz48dGl0bGU+SW52ZXN0b3IgdmFsdWF0aW9uIG9m
IHRoZSBhYmFuZG9ubWVudCBvcHRpb248L3RpdGxlPjxzZWNvbmRhcnktdGl0bGU+Sm91cm5hbCBv
ZiBmaW5hbmNpYWwgZWNvbm9taWNzPC9zZWNvbmRhcnktdGl0bGU+PC90aXRsZXM+PHBlcmlvZGlj
YWw+PGZ1bGwtdGl0bGU+Sm91cm5hbCBvZiBmaW5hbmNpYWwgZWNvbm9taWNzPC9mdWxsLXRpdGxl
PjwvcGVyaW9kaWNhbD48cGFnZXM+MjU3LTI4NzwvcGFnZXM+PHZvbHVtZT40Mjwvdm9sdW1lPjxu
dW1iZXI+MjwvbnVtYmVyPjxkYXRlcz48eWVhcj4xOTk2PC95ZWFyPjwvZGF0ZXM+PGlzYm4+MDMw
NC00MDVYPC9pc2JuPjx1cmxzPjwvdXJscz48L3JlY29yZD48L0NpdGU+PC9FbmROb3RlPn==
</w:fldData>
        </w:fldChar>
      </w:r>
      <w:r w:rsidRPr="00082ABC">
        <w:instrText xml:space="preserve"> ADDIN EN.CITE.DATA </w:instrText>
      </w:r>
      <w:r w:rsidRPr="00082ABC">
        <w:fldChar w:fldCharType="end"/>
      </w:r>
      <w:r w:rsidRPr="00082ABC">
        <w:fldChar w:fldCharType="separate"/>
      </w:r>
      <w:r w:rsidRPr="00082ABC">
        <w:t>(</w:t>
      </w:r>
      <w:r w:rsidR="00EA043F">
        <w:t>e.g.</w:t>
      </w:r>
      <w:r w:rsidRPr="00082ABC">
        <w:t xml:space="preserve"> </w:t>
      </w:r>
      <w:hyperlink w:anchor="_ENREF_28" w:tooltip="Yeo, 2003 #187" w:history="1">
        <w:r w:rsidRPr="00082ABC">
          <w:t>Yeo and Qiu, 2003</w:t>
        </w:r>
      </w:hyperlink>
      <w:r w:rsidRPr="00082ABC">
        <w:t>)</w:t>
      </w:r>
      <w:r w:rsidRPr="00082ABC">
        <w:fldChar w:fldCharType="end"/>
      </w:r>
      <w:r w:rsidRPr="00082ABC">
        <w:t xml:space="preserve">. This research reviews the capital existence opportunity as an abandonment option to see if the option value can influence the length of the concession period. Because only a few pieces of research test the effectiveness of their models in risk control, and none of them consider the influence of risk preference on the agreement on the length of the concession period, this study fills the gap in designing a concession period determination method based on the fair risk preferences of the project participants, as well as providing a method of </w:t>
      </w:r>
      <w:r w:rsidRPr="00082ABC">
        <w:rPr>
          <w:rFonts w:hint="eastAsia"/>
        </w:rPr>
        <w:t>r</w:t>
      </w:r>
      <w:r w:rsidRPr="00082ABC">
        <w:t>isk verification.</w:t>
      </w:r>
    </w:p>
    <w:p w:rsidR="00B14A54" w:rsidRDefault="00B14A54" w:rsidP="00B14A54">
      <w:pPr>
        <w:jc w:val="both"/>
      </w:pPr>
    </w:p>
    <w:p w:rsidR="004924DD" w:rsidRDefault="00082ABC">
      <w:pPr>
        <w:pStyle w:val="SectionHeading"/>
      </w:pPr>
      <w:r>
        <w:rPr>
          <w:rFonts w:hint="eastAsia"/>
          <w:lang w:eastAsia="zh-CN"/>
        </w:rPr>
        <w:t>Rese</w:t>
      </w:r>
      <w:r>
        <w:t>arch background</w:t>
      </w:r>
    </w:p>
    <w:p w:rsidR="004924DD" w:rsidRDefault="00082ABC">
      <w:pPr>
        <w:pStyle w:val="SectionSub-heading"/>
      </w:pPr>
      <w:r w:rsidRPr="00082ABC">
        <w:t>NPV-based concession period design</w:t>
      </w:r>
    </w:p>
    <w:p w:rsidR="00082ABC" w:rsidRPr="00082ABC" w:rsidRDefault="00082ABC" w:rsidP="00082ABC">
      <w:r w:rsidRPr="00082ABC">
        <w:rPr>
          <w:rFonts w:hint="eastAsia"/>
        </w:rPr>
        <w:t>NPV ana</w:t>
      </w:r>
      <w:r w:rsidRPr="00082ABC">
        <w:t>lysis requires figuring out the amount</w:t>
      </w:r>
      <w:r w:rsidRPr="00082ABC">
        <w:rPr>
          <w:rFonts w:hint="eastAsia"/>
        </w:rPr>
        <w:t>s</w:t>
      </w:r>
      <w:r w:rsidRPr="00082ABC">
        <w:t xml:space="preserve"> of the cash inflow and cash outflow of a project on the side of the contractors. For a PPP project, the cash outflow covers the construction cost, the operation and maintenance cost, and other </w:t>
      </w:r>
      <w:r w:rsidRPr="00082ABC">
        <w:rPr>
          <w:rFonts w:hint="eastAsia"/>
        </w:rPr>
        <w:t>i</w:t>
      </w:r>
      <w:r w:rsidRPr="00082ABC">
        <w:t>mplicit costs, like negotiation costs, the cost of the land acquisition, and so on. The contractor c</w:t>
      </w:r>
      <w:r w:rsidRPr="00082ABC">
        <w:rPr>
          <w:rFonts w:hint="eastAsia"/>
        </w:rPr>
        <w:t>an</w:t>
      </w:r>
      <w:r w:rsidRPr="00082ABC">
        <w:t xml:space="preserve"> pay the construction cost as a </w:t>
      </w:r>
      <w:r w:rsidRPr="00082ABC">
        <w:rPr>
          <w:rFonts w:hint="eastAsia"/>
        </w:rPr>
        <w:t>l</w:t>
      </w:r>
      <w:r w:rsidRPr="00082ABC">
        <w:t xml:space="preserve">ump-sum payment or pay individually according to the building process. The operation and maintenance fee is usually paid annually to maintain the operation of the project. The contractor starts to receive cash inflow when the project opens to the public. Hence, the NPV of a PPP project is found </w:t>
      </w:r>
      <w:r w:rsidRPr="00082ABC">
        <w:rPr>
          <w:rFonts w:hint="eastAsia"/>
        </w:rPr>
        <w:t>through</w:t>
      </w:r>
      <w:r w:rsidRPr="00082ABC">
        <w:t xml:space="preserve"> Eq. (1):</w:t>
      </w:r>
    </w:p>
    <w:p w:rsidR="00082ABC" w:rsidRDefault="003375FF" w:rsidP="00082ABC">
      <m:oMath>
        <m:sSub>
          <m:sSubPr>
            <m:ctrlPr>
              <w:rPr>
                <w:rFonts w:ascii="Cambria Math" w:hAnsi="Cambria Math"/>
                <w:lang w:val="en-AU" w:eastAsia="zh-CN"/>
              </w:rPr>
            </m:ctrlPr>
          </m:sSubPr>
          <m:e>
            <m:r>
              <w:rPr>
                <w:rFonts w:ascii="Cambria Math" w:hAnsi="Cambria Math"/>
              </w:rPr>
              <m:t>NPV</m:t>
            </m:r>
          </m:e>
          <m:sub>
            <m:r>
              <w:rPr>
                <w:rFonts w:ascii="Cambria Math" w:hAnsi="Cambria Math"/>
              </w:rPr>
              <m:t>p</m:t>
            </m:r>
          </m:sub>
        </m:sSub>
        <m:r>
          <w:rPr>
            <w:rFonts w:ascii="Cambria Math" w:hAnsi="Cambria Math"/>
          </w:rPr>
          <m:t>=R-</m:t>
        </m:r>
        <m:sSub>
          <m:sSubPr>
            <m:ctrlPr>
              <w:rPr>
                <w:rFonts w:ascii="Cambria Math" w:hAnsi="Cambria Math"/>
                <w:lang w:val="en-AU" w:eastAsia="zh-CN"/>
              </w:rPr>
            </m:ctrlPr>
          </m:sSubPr>
          <m:e>
            <m:r>
              <w:rPr>
                <w:rFonts w:ascii="Cambria Math" w:hAnsi="Cambria Math"/>
              </w:rPr>
              <m:t>I</m:t>
            </m:r>
          </m:e>
          <m:sub>
            <m:r>
              <w:rPr>
                <w:rFonts w:ascii="Cambria Math" w:hAnsi="Cambria Math"/>
              </w:rPr>
              <m:t>c</m:t>
            </m:r>
          </m:sub>
        </m:sSub>
        <m:r>
          <w:rPr>
            <w:rFonts w:ascii="Cambria Math" w:hAnsi="Cambria Math"/>
          </w:rPr>
          <m:t>-</m:t>
        </m:r>
        <m:sSub>
          <m:sSubPr>
            <m:ctrlPr>
              <w:rPr>
                <w:rFonts w:ascii="Cambria Math" w:hAnsi="Cambria Math"/>
                <w:lang w:val="en-AU" w:eastAsia="zh-CN"/>
              </w:rPr>
            </m:ctrlPr>
          </m:sSubPr>
          <m:e>
            <m:r>
              <w:rPr>
                <w:rFonts w:ascii="Cambria Math" w:hAnsi="Cambria Math"/>
              </w:rPr>
              <m:t>I</m:t>
            </m:r>
          </m:e>
          <m:sub>
            <m:r>
              <w:rPr>
                <w:rFonts w:ascii="Cambria Math" w:hAnsi="Cambria Math"/>
              </w:rPr>
              <m:t>i</m:t>
            </m:r>
          </m:sub>
        </m:sSub>
        <m:r>
          <w:rPr>
            <w:rFonts w:ascii="Cambria Math" w:hAnsi="Cambria Math"/>
          </w:rPr>
          <m:t xml:space="preserve"> </m:t>
        </m:r>
      </m:oMath>
      <w:r w:rsidR="00082ABC" w:rsidRPr="00082ABC">
        <w:rPr>
          <w:rFonts w:hint="eastAsia"/>
        </w:rPr>
        <w:t xml:space="preserve"> </w:t>
      </w:r>
      <w:r w:rsidR="00082ABC" w:rsidRPr="00082ABC">
        <w:t>(1)</w:t>
      </w:r>
    </w:p>
    <w:p w:rsidR="00B15FC5" w:rsidRPr="00082ABC" w:rsidRDefault="00B15FC5" w:rsidP="00082ABC">
      <w:r w:rsidRPr="00082ABC">
        <w:t xml:space="preserve">where </w:t>
      </w:r>
      <m:oMath>
        <m:r>
          <w:rPr>
            <w:rFonts w:ascii="Cambria Math" w:hAnsi="Cambria Math"/>
          </w:rPr>
          <m:t>R=</m:t>
        </m:r>
        <m:nary>
          <m:naryPr>
            <m:chr m:val="∑"/>
            <m:limLoc m:val="undOvr"/>
            <m:ctrlPr>
              <w:rPr>
                <w:rFonts w:ascii="Cambria Math" w:hAnsi="Cambria Math"/>
              </w:rPr>
            </m:ctrlPr>
          </m:naryPr>
          <m:sub>
            <m:r>
              <w:rPr>
                <w:rFonts w:ascii="Cambria Math" w:hAnsi="Cambria Math"/>
              </w:rPr>
              <m:t>t=</m:t>
            </m:r>
            <m:sSub>
              <m:sSubPr>
                <m:ctrlPr>
                  <w:rPr>
                    <w:rFonts w:ascii="Cambria Math" w:hAnsi="Cambria Math"/>
                  </w:rPr>
                </m:ctrlPr>
              </m:sSubPr>
              <m:e>
                <m:r>
                  <w:rPr>
                    <w:rFonts w:ascii="Cambria Math" w:hAnsi="Cambria Math"/>
                  </w:rPr>
                  <m:t>t</m:t>
                </m:r>
              </m:e>
              <m:sub>
                <m:r>
                  <w:rPr>
                    <w:rFonts w:ascii="Cambria Math" w:hAnsi="Cambria Math"/>
                  </w:rPr>
                  <m:t>0</m:t>
                </m:r>
              </m:sub>
            </m:sSub>
          </m:sub>
          <m:sup>
            <m:r>
              <w:rPr>
                <w:rFonts w:ascii="Cambria Math" w:hAnsi="Cambria Math"/>
              </w:rPr>
              <m:t>n</m:t>
            </m:r>
          </m:sup>
          <m:e>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t</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I</m:t>
                        </m:r>
                      </m:e>
                      <m:sub>
                        <m:r>
                          <w:rPr>
                            <w:rFonts w:ascii="Cambria Math" w:hAnsi="Cambria Math"/>
                          </w:rPr>
                          <m:t>O&amp;M</m:t>
                        </m:r>
                      </m:sub>
                    </m:sSub>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w:rPr>
                            <w:rFonts w:ascii="Cambria Math" w:hAnsi="Cambria Math"/>
                          </w:rPr>
                          <m:t>1+r</m:t>
                        </m:r>
                      </m:e>
                    </m:d>
                  </m:e>
                  <m:sup>
                    <m:r>
                      <w:rPr>
                        <w:rFonts w:ascii="Cambria Math" w:hAnsi="Cambria Math"/>
                      </w:rPr>
                      <m:t>t</m:t>
                    </m:r>
                  </m:sup>
                </m:sSup>
              </m:den>
            </m:f>
          </m:e>
        </m:nary>
      </m:oMath>
      <w:r w:rsidRPr="00082ABC">
        <w:t xml:space="preserve">, </w:t>
      </w:r>
      <m:oMath>
        <m:sSub>
          <m:sSubPr>
            <m:ctrlPr>
              <w:rPr>
                <w:rFonts w:ascii="Cambria Math" w:hAnsi="Cambria Math"/>
              </w:rPr>
            </m:ctrlPr>
          </m:sSubPr>
          <m:e>
            <m:r>
              <w:rPr>
                <w:rFonts w:ascii="Cambria Math" w:hAnsi="Cambria Math"/>
              </w:rPr>
              <m:t>I</m:t>
            </m:r>
          </m:e>
          <m:sub>
            <m:r>
              <w:rPr>
                <w:rFonts w:ascii="Cambria Math" w:hAnsi="Cambria Math"/>
              </w:rPr>
              <m:t>c</m:t>
            </m:r>
          </m:sub>
        </m:sSub>
        <m:r>
          <w:rPr>
            <w:rFonts w:ascii="Cambria Math" w:hAnsi="Cambria Math"/>
          </w:rPr>
          <m:t>=</m:t>
        </m:r>
        <m:nary>
          <m:naryPr>
            <m:chr m:val="∑"/>
            <m:limLoc m:val="undOvr"/>
            <m:ctrlPr>
              <w:rPr>
                <w:rFonts w:ascii="Cambria Math" w:hAnsi="Cambria Math"/>
              </w:rPr>
            </m:ctrlPr>
          </m:naryPr>
          <m:sub>
            <m:r>
              <w:rPr>
                <w:rFonts w:ascii="Cambria Math" w:hAnsi="Cambria Math"/>
              </w:rPr>
              <m:t>t=0</m:t>
            </m:r>
          </m:sub>
          <m:sup>
            <m:sSub>
              <m:sSubPr>
                <m:ctrlPr>
                  <w:rPr>
                    <w:rFonts w:ascii="Cambria Math" w:hAnsi="Cambria Math"/>
                  </w:rPr>
                </m:ctrlPr>
              </m:sSubPr>
              <m:e>
                <m:r>
                  <w:rPr>
                    <w:rFonts w:ascii="Cambria Math" w:hAnsi="Cambria Math"/>
                  </w:rPr>
                  <m:t>t</m:t>
                </m:r>
              </m:e>
              <m:sub>
                <m:r>
                  <w:rPr>
                    <w:rFonts w:ascii="Cambria Math" w:hAnsi="Cambria Math"/>
                  </w:rPr>
                  <m:t>0</m:t>
                </m:r>
              </m:sub>
            </m:sSub>
          </m:sup>
          <m:e>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I</m:t>
                        </m:r>
                      </m:e>
                      <m:sub>
                        <m:r>
                          <w:rPr>
                            <w:rFonts w:ascii="Cambria Math" w:hAnsi="Cambria Math"/>
                          </w:rPr>
                          <m:t>c</m:t>
                        </m:r>
                      </m:sub>
                    </m:sSub>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w:rPr>
                            <w:rFonts w:ascii="Cambria Math" w:hAnsi="Cambria Math"/>
                          </w:rPr>
                          <m:t>1+r</m:t>
                        </m:r>
                      </m:e>
                    </m:d>
                  </m:e>
                  <m:sup>
                    <m:r>
                      <w:rPr>
                        <w:rFonts w:ascii="Cambria Math" w:hAnsi="Cambria Math"/>
                      </w:rPr>
                      <m:t>t</m:t>
                    </m:r>
                  </m:sup>
                </m:sSup>
              </m:den>
            </m:f>
          </m:e>
        </m:nary>
      </m:oMath>
      <w:r w:rsidRPr="00082ABC">
        <w:t xml:space="preserve">. </w:t>
      </w:r>
      <m:oMath>
        <m:r>
          <w:rPr>
            <w:rFonts w:ascii="Cambria Math" w:hAnsi="Cambria Math"/>
          </w:rPr>
          <m:t>R</m:t>
        </m:r>
      </m:oMath>
      <w:r w:rsidRPr="00082ABC">
        <w:t xml:space="preserve"> is the revenue earned in the operational</w:t>
      </w:r>
    </w:p>
    <w:p w:rsidR="00082ABC" w:rsidRPr="00082ABC" w:rsidRDefault="00082ABC" w:rsidP="00082ABC">
      <w:r w:rsidRPr="00082ABC">
        <w:lastRenderedPageBreak/>
        <w:t xml:space="preserve">stage. </w:t>
      </w:r>
      <m:oMath>
        <m:sSub>
          <m:sSubPr>
            <m:ctrlPr>
              <w:rPr>
                <w:rFonts w:ascii="Cambria Math" w:hAnsi="Cambria Math"/>
                <w:lang w:val="en-AU" w:eastAsia="zh-CN"/>
              </w:rPr>
            </m:ctrlPr>
          </m:sSubPr>
          <m:e>
            <m:r>
              <w:rPr>
                <w:rFonts w:ascii="Cambria Math" w:hAnsi="Cambria Math"/>
              </w:rPr>
              <m:t>I</m:t>
            </m:r>
          </m:e>
          <m:sub>
            <m:r>
              <w:rPr>
                <w:rFonts w:ascii="Cambria Math" w:hAnsi="Cambria Math"/>
              </w:rPr>
              <m:t>c</m:t>
            </m:r>
          </m:sub>
        </m:sSub>
      </m:oMath>
      <w:r w:rsidRPr="00082ABC">
        <w:rPr>
          <w:rFonts w:hint="eastAsia"/>
        </w:rPr>
        <w:t xml:space="preserve"> </w:t>
      </w:r>
      <w:r w:rsidRPr="00082ABC">
        <w:t>is the overall construction cost.</w:t>
      </w:r>
      <w:r w:rsidRPr="00082ABC">
        <w:rPr>
          <w:rFonts w:hint="eastAsia"/>
        </w:rPr>
        <w:t xml:space="preserve"> </w:t>
      </w:r>
      <m:oMath>
        <m:sSub>
          <m:sSubPr>
            <m:ctrlPr>
              <w:rPr>
                <w:rFonts w:ascii="Cambria Math" w:hAnsi="Cambria Math"/>
                <w:lang w:val="en-AU" w:eastAsia="zh-CN"/>
              </w:rPr>
            </m:ctrlPr>
          </m:sSubPr>
          <m:e>
            <m:r>
              <w:rPr>
                <w:rFonts w:ascii="Cambria Math" w:hAnsi="Cambria Math"/>
              </w:rPr>
              <m:t>I</m:t>
            </m:r>
          </m:e>
          <m:sub>
            <m:r>
              <w:rPr>
                <w:rFonts w:ascii="Cambria Math" w:hAnsi="Cambria Math"/>
              </w:rPr>
              <m:t>i</m:t>
            </m:r>
          </m:sub>
        </m:sSub>
      </m:oMath>
      <w:r w:rsidRPr="00082ABC">
        <w:t xml:space="preserve"> indicates other initial investment.</w:t>
      </w:r>
      <w:r w:rsidRPr="00082ABC">
        <w:rPr>
          <w:rFonts w:hint="eastAsia"/>
        </w:rPr>
        <w:t xml:space="preserve"> </w:t>
      </w:r>
      <m:oMath>
        <m:sSub>
          <m:sSubPr>
            <m:ctrlPr>
              <w:rPr>
                <w:rFonts w:ascii="Cambria Math" w:hAnsi="Cambria Math"/>
                <w:lang w:val="en-AU" w:eastAsia="zh-CN"/>
              </w:rPr>
            </m:ctrlPr>
          </m:sSubPr>
          <m:e>
            <m:r>
              <w:rPr>
                <w:rFonts w:ascii="Cambria Math" w:hAnsi="Cambria Math"/>
              </w:rPr>
              <m:t>R</m:t>
            </m:r>
          </m:e>
          <m:sub>
            <m:r>
              <w:rPr>
                <w:rFonts w:ascii="Cambria Math" w:hAnsi="Cambria Math"/>
              </w:rPr>
              <m:t>t</m:t>
            </m:r>
          </m:sub>
        </m:sSub>
        <m:r>
          <w:rPr>
            <w:rFonts w:ascii="Cambria Math" w:hAnsi="Cambria Math"/>
          </w:rPr>
          <m:t xml:space="preserve"> </m:t>
        </m:r>
      </m:oMath>
      <w:r w:rsidRPr="00082ABC">
        <w:t>is the revenue from operating the project at year t.</w:t>
      </w:r>
      <m:oMath>
        <m:r>
          <w:rPr>
            <w:rFonts w:ascii="Cambria Math" w:hAnsi="Cambria Math"/>
          </w:rPr>
          <m:t xml:space="preserve"> </m:t>
        </m:r>
        <m:sSub>
          <m:sSubPr>
            <m:ctrlPr>
              <w:rPr>
                <w:rFonts w:ascii="Cambria Math" w:hAnsi="Cambria Math"/>
                <w:lang w:val="en-AU" w:eastAsia="zh-CN"/>
              </w:rPr>
            </m:ctrlPr>
          </m:sSubPr>
          <m:e>
            <m:sSub>
              <m:sSubPr>
                <m:ctrlPr>
                  <w:rPr>
                    <w:rFonts w:ascii="Cambria Math" w:hAnsi="Cambria Math"/>
                    <w:lang w:val="en-AU" w:eastAsia="zh-CN"/>
                  </w:rPr>
                </m:ctrlPr>
              </m:sSubPr>
              <m:e>
                <m:r>
                  <w:rPr>
                    <w:rFonts w:ascii="Cambria Math" w:hAnsi="Cambria Math"/>
                  </w:rPr>
                  <m:t>I</m:t>
                </m:r>
              </m:e>
              <m:sub>
                <m:r>
                  <w:rPr>
                    <w:rFonts w:ascii="Cambria Math" w:hAnsi="Cambria Math"/>
                  </w:rPr>
                  <m:t>O&amp;M</m:t>
                </m:r>
              </m:sub>
            </m:sSub>
          </m:e>
          <m:sub>
            <m:r>
              <w:rPr>
                <w:rFonts w:ascii="Cambria Math" w:hAnsi="Cambria Math"/>
              </w:rPr>
              <m:t>t</m:t>
            </m:r>
          </m:sub>
        </m:sSub>
        <m:r>
          <w:rPr>
            <w:rFonts w:ascii="Cambria Math" w:hAnsi="Cambria Math"/>
          </w:rPr>
          <m:t xml:space="preserve"> </m:t>
        </m:r>
      </m:oMath>
      <w:r w:rsidRPr="00082ABC">
        <w:t>is the operation and maintenance cost at year t.</w:t>
      </w:r>
      <m:oMath>
        <m:r>
          <w:rPr>
            <w:rFonts w:ascii="Cambria Math" w:hAnsi="Cambria Math"/>
          </w:rPr>
          <m:t xml:space="preserve">  n</m:t>
        </m:r>
      </m:oMath>
      <w:r w:rsidRPr="00082ABC">
        <w:t xml:space="preserve"> is the lifetime of the project.</w:t>
      </w:r>
      <m:oMath>
        <m:r>
          <w:rPr>
            <w:rFonts w:ascii="Cambria Math" w:hAnsi="Cambria Math"/>
          </w:rPr>
          <m:t xml:space="preserve">  </m:t>
        </m:r>
        <m:sSub>
          <m:sSubPr>
            <m:ctrlPr>
              <w:rPr>
                <w:rFonts w:ascii="Cambria Math" w:hAnsi="Cambria Math"/>
                <w:lang w:val="en-AU" w:eastAsia="zh-CN"/>
              </w:rPr>
            </m:ctrlPr>
          </m:sSubPr>
          <m:e>
            <m:r>
              <w:rPr>
                <w:rFonts w:ascii="Cambria Math" w:hAnsi="Cambria Math"/>
              </w:rPr>
              <m:t>t</m:t>
            </m:r>
          </m:e>
          <m:sub>
            <m:r>
              <w:rPr>
                <w:rFonts w:ascii="Cambria Math" w:hAnsi="Cambria Math"/>
              </w:rPr>
              <m:t>0</m:t>
            </m:r>
          </m:sub>
        </m:sSub>
      </m:oMath>
      <w:r w:rsidRPr="00082ABC">
        <w:t xml:space="preserve"> is the instant of time when the project opens to the public. </w:t>
      </w:r>
      <m:oMath>
        <m:r>
          <w:rPr>
            <w:rFonts w:ascii="Cambria Math" w:hAnsi="Cambria Math"/>
          </w:rPr>
          <m:t>r</m:t>
        </m:r>
      </m:oMath>
      <w:r w:rsidRPr="00082ABC">
        <w:t xml:space="preserve"> is the discount rate. </w:t>
      </w:r>
      <m:oMath>
        <m:sSub>
          <m:sSubPr>
            <m:ctrlPr>
              <w:rPr>
                <w:rFonts w:ascii="Cambria Math" w:hAnsi="Cambria Math"/>
                <w:lang w:val="en-AU" w:eastAsia="zh-CN"/>
              </w:rPr>
            </m:ctrlPr>
          </m:sSubPr>
          <m:e>
            <m:sSub>
              <m:sSubPr>
                <m:ctrlPr>
                  <w:rPr>
                    <w:rFonts w:ascii="Cambria Math" w:hAnsi="Cambria Math"/>
                    <w:lang w:val="en-AU" w:eastAsia="zh-CN"/>
                  </w:rPr>
                </m:ctrlPr>
              </m:sSubPr>
              <m:e>
                <m:r>
                  <w:rPr>
                    <w:rFonts w:ascii="Cambria Math" w:hAnsi="Cambria Math"/>
                  </w:rPr>
                  <m:t>I</m:t>
                </m:r>
              </m:e>
              <m:sub>
                <m:r>
                  <w:rPr>
                    <w:rFonts w:ascii="Cambria Math" w:hAnsi="Cambria Math"/>
                  </w:rPr>
                  <m:t>c</m:t>
                </m:r>
              </m:sub>
            </m:sSub>
          </m:e>
          <m:sub>
            <m:r>
              <w:rPr>
                <w:rFonts w:ascii="Cambria Math" w:hAnsi="Cambria Math"/>
              </w:rPr>
              <m:t>t</m:t>
            </m:r>
          </m:sub>
        </m:sSub>
      </m:oMath>
      <w:r w:rsidRPr="00082ABC">
        <w:t xml:space="preserve"> is the yearly construction cost at year t. </w:t>
      </w:r>
    </w:p>
    <w:p w:rsidR="00082ABC" w:rsidRPr="00082ABC" w:rsidRDefault="00082ABC" w:rsidP="00082ABC"/>
    <w:p w:rsidR="00082ABC" w:rsidRPr="00082ABC" w:rsidRDefault="00082ABC" w:rsidP="00082ABC">
      <w:r w:rsidRPr="00082ABC">
        <w:t>After</w:t>
      </w:r>
      <w:r w:rsidRPr="00082ABC">
        <w:rPr>
          <w:rFonts w:hint="eastAsia"/>
        </w:rPr>
        <w:t xml:space="preserve"> </w:t>
      </w:r>
      <w:r w:rsidRPr="00082ABC">
        <w:t>clarifying the profitability of a project</w:t>
      </w:r>
      <w:r w:rsidRPr="00082ABC">
        <w:rPr>
          <w:rFonts w:hint="eastAsia"/>
        </w:rPr>
        <w:t xml:space="preserve"> </w:t>
      </w:r>
      <w:r w:rsidRPr="00082ABC">
        <w:t>through</w:t>
      </w:r>
      <w:r w:rsidRPr="00082ABC">
        <w:rPr>
          <w:rFonts w:hint="eastAsia"/>
        </w:rPr>
        <w:t xml:space="preserve"> </w:t>
      </w:r>
      <w:r w:rsidRPr="00082ABC">
        <w:t xml:space="preserve">NPV analysis, both private investors and governments want to know how much money will be earned during their operational stages, i.e. the concession period and post-transfer stage respectively. Predetermined parameters, like concession pricing and the concession period, need to be </w:t>
      </w:r>
      <w:r w:rsidRPr="00082ABC">
        <w:rPr>
          <w:rFonts w:hint="eastAsia"/>
        </w:rPr>
        <w:t>nego</w:t>
      </w:r>
      <w:r w:rsidRPr="00082ABC">
        <w:t xml:space="preserve">tiated in the pre-construction stage. Private investors start receiving revenue when the project opens to the public and the governments earn money after the project is transferred from the private investors. Thus, the concession period, or in other words the length of time after which the project should be transferred from private investors to public parties, is an important contractual parameters that needs to be decided. Several methodologies are derived from NPV analysis for calculating the value of the optimal concession period, and the core of these methodologies is to define the boundaries of the private investors’ revenue </w:t>
      </w:r>
      <w:r w:rsidRPr="00082ABC">
        <w:fldChar w:fldCharType="begin">
          <w:fldData xml:space="preserve">PEVuZE5vdGU+PENpdGU+PEF1dGhvcj5OZzwvQXV0aG9yPjxZZWFyPjIwMDc8L1llYXI+PFJlY051
bT4xNzQ8L1JlY051bT48RGlzcGxheVRleHQ+KENhcmJvbmFyYSBldCBhbC4sIDIwMTRhOyBIYW5h
b2thICZhbXA7IFBhbGFwdXMsIDIwMTI7IE5nLCBYaWUsIENoZXVuZywgJmFtcDsgSmVmZmVyaWVz
LCAyMDA3OyBaaGFuZywgMjAwOSk8L0Rpc3BsYXlUZXh0PjxyZWNvcmQ+PHJlYy1udW1iZXI+MTc0
PC9yZWMtbnVtYmVyPjxmb3JlaWduLWtleXM+PGtleSBhcHA9IkVOIiBkYi1pZD0id2VyNTVyYXcw
MHRkdmhlenhmaXZ6OTBqeDV6MmRmZXc5ZHBkIiB0aW1lc3RhbXA9IjE0OTI1ODg5MjciPjE3NDwv
a2V5PjxrZXkgYXBwPSJFTldlYiIgZGItaWQ9IiI+MDwva2V5PjwvZm9yZWlnbi1rZXlzPjxyZWYt
dHlwZSBuYW1lPSJKb3VybmFsIEFydGljbGUiPjE3PC9yZWYtdHlwZT48Y29udHJpYnV0b3JzPjxh
dXRob3JzPjxhdXRob3I+TmcsIFMuIFRob21hczwvYXV0aG9yPjxhdXRob3I+WGllLCBKaW5nemh1
PC9hdXRob3I+PGF1dGhvcj5DaGV1bmcsIFlhdSBLYWk8L2F1dGhvcj48YXV0aG9yPkplZmZlcmll
cywgTWFyY3VzPC9hdXRob3I+PC9hdXRob3JzPjwvY29udHJpYnV0b3JzPjx0aXRsZXM+PHRpdGxl
PkEgc2ltdWxhdGlvbiBtb2RlbCBmb3Igb3B0aW1pemluZyB0aGUgY29uY2Vzc2lvbiBwZXJpb2Qg
b2YgcHVibGlj4oCTcHJpdmF0ZSBwYXJ0bmVyc2hpcHMgc2NoZW1lczwvdGl0bGU+PHNlY29uZGFy
eS10aXRsZT5JbnRlcm5hdGlvbmFsIEpvdXJuYWwgb2YgUHJvamVjdCBNYW5hZ2VtZW50PC9zZWNv
bmRhcnktdGl0bGU+PC90aXRsZXM+PHBlcmlvZGljYWw+PGZ1bGwtdGl0bGU+SW50ZXJuYXRpb25h
bCBKb3VybmFsIG9mIFByb2plY3QgTWFuYWdlbWVudDwvZnVsbC10aXRsZT48L3BlcmlvZGljYWw+
PHBhZ2VzPjc5MS03OTg8L3BhZ2VzPjx2b2x1bWU+MjU8L3ZvbHVtZT48bnVtYmVyPjg8L251bWJl
cj48ZGF0ZXM+PHllYXI+MjAwNzwveWVhcj48L2RhdGVzPjxpc2JuPjAyNjM3ODYzPC9pc2JuPjx1
cmxzPjwvdXJscz48L3JlY29yZD48L0NpdGU+PENpdGU+PEF1dGhvcj5DYXJib25hcmE8L0F1dGhv
cj48WWVhcj4yMDE0PC9ZZWFyPjxSZWNOdW0+MTcyPC9SZWNOdW0+PHJlY29yZD48cmVjLW51bWJl
cj4xNzI8L3JlYy1udW1iZXI+PGZvcmVpZ24ta2V5cz48a2V5IGFwcD0iRU4iIGRiLWlkPSJ3ZXI1
NXJhdzAwdGR2aGV6eGZpdno5MGp4NXoyZGZldzlkcGQiIHRpbWVzdGFtcD0iMTQ5MjQxOTQ2NyI+
MTcyPC9rZXk+PGtleSBhcHA9IkVOV2ViIiBkYi1pZD0iIj4wPC9rZXk+PC9mb3JlaWduLWtleXM+
PHJlZi10eXBlIG5hbWU9IkpvdXJuYWwgQXJ0aWNsZSI+MTc8L3JlZi10eXBlPjxjb250cmlidXRv
cnM+PGF1dGhvcnM+PGF1dGhvcj5DYXJib25hcmEsIE51bnppYTwvYXV0aG9yPjxhdXRob3I+Q29z
dGFudGlubywgTmljb2xhPC9hdXRob3I+PGF1dGhvcj5QZWxsZWdyaW5vLCBSb2JlcnRhPC9hdXRo
b3I+PC9hdXRob3JzPjwvY29udHJpYnV0b3JzPjx0aXRsZXM+PHRpdGxlPkNvbmNlc3Npb24gcGVy
aW9kIGZvciBQUFBzOiBBIHdpbuKAk3dpbiBtb2RlbCBmb3IgYSBmYWlyIHJpc2sgc2hhcmluZzwv
dGl0bGU+PHNlY29uZGFyeS10aXRsZT5JbnRlcm5hdGlvbmFsIEpvdXJuYWwgb2YgUHJvamVjdCBN
YW5hZ2VtZW50PC9zZWNvbmRhcnktdGl0bGU+PC90aXRsZXM+PHBlcmlvZGljYWw+PGZ1bGwtdGl0
bGU+SW50ZXJuYXRpb25hbCBKb3VybmFsIG9mIFByb2plY3QgTWFuYWdlbWVudDwvZnVsbC10aXRs
ZT48L3BlcmlvZGljYWw+PHBhZ2VzPjEyMjMtMTIzMjwvcGFnZXM+PHZvbHVtZT4zMjwvdm9sdW1l
PjxudW1iZXI+NzwvbnVtYmVyPjxkYXRlcz48eWVhcj4yMDE0PC95ZWFyPjwvZGF0ZXM+PGlzYm4+
MDI2Mzc4NjM8L2lzYm4+PHVybHM+PC91cmxzPjwvcmVjb3JkPjwvQ2l0ZT48Q2l0ZT48QXV0aG9y
PlpoYW5nPC9BdXRob3I+PFllYXI+MjAwOTwvWWVhcj48UmVjTnVtPjE5MTwvUmVjTnVtPjxyZWNv
cmQ+PHJlYy1udW1iZXI+MTkxPC9yZWMtbnVtYmVyPjxmb3JlaWduLWtleXM+PGtleSBhcHA9IkVO
IiBkYi1pZD0id2VyNTVyYXcwMHRkdmhlenhmaXZ6OTBqeDV6MmRmZXc5ZHBkIiB0aW1lc3RhbXA9
IjE0OTM2OTcwOTIiPjE5MTwva2V5PjwvZm9yZWlnbi1rZXlzPjxyZWYtdHlwZSBuYW1lPSJKb3Vy
bmFsIEFydGljbGUiPjE3PC9yZWYtdHlwZT48Y29udHJpYnV0b3JzPjxhdXRob3JzPjxhdXRob3I+
WmhhbmcsIFh1ZXFpbmc8L2F1dGhvcj48L2F1dGhvcnM+PC9jb250cmlidXRvcnM+PHRpdGxlcz48
dGl0bGU+V2lu4oCTd2luIGNvbmNlc3Npb24gcGVyaW9kIGRldGVybWluYXRpb24gbWV0aG9kb2xv
Z3k8L3RpdGxlPjxzZWNvbmRhcnktdGl0bGU+Sm91cm5hbCBvZiBDb25zdHJ1Y3Rpb24gRW5naW5l
ZXJpbmcgYW5kIE1hbmFnZW1lbnQ8L3NlY29uZGFyeS10aXRsZT48L3RpdGxlcz48cGVyaW9kaWNh
bD48ZnVsbC10aXRsZT5Kb3VybmFsIG9mIENvbnN0cnVjdGlvbiBFbmdpbmVlcmluZyBhbmQgTWFu
YWdlbWVudDwvZnVsbC10aXRsZT48L3BlcmlvZGljYWw+PHBhZ2VzPjU1MC01NTg8L3BhZ2VzPjx2
b2x1bWU+MTM1PC92b2x1bWU+PG51bWJlcj42PC9udW1iZXI+PGRhdGVzPjx5ZWFyPjIwMDk8L3ll
YXI+PC9kYXRlcz48aXNibj4wNzMzLTkzNjQ8L2lzYm4+PHVybHM+PC91cmxzPjwvcmVjb3JkPjwv
Q2l0ZT48Q2l0ZT48QXV0aG9yPkhhbmFva2E8L0F1dGhvcj48WWVhcj4yMDEyPC9ZZWFyPjxSZWNO
dW0+MTg1PC9SZWNOdW0+PHJlY29yZD48cmVjLW51bWJlcj4xODU8L3JlYy1udW1iZXI+PGZvcmVp
Z24ta2V5cz48a2V5IGFwcD0iRU4iIGRiLWlkPSJ3ZXI1NXJhdzAwdGR2aGV6eGZpdno5MGp4NXoy
ZGZldzlkcGQiIHRpbWVzdGFtcD0iMTQ5MzYxMDI3NyI+MTg1PC9rZXk+PC9mb3JlaWduLWtleXM+
PHJlZi10eXBlIG5hbWU9IkpvdXJuYWwgQXJ0aWNsZSI+MTc8L3JlZi10eXBlPjxjb250cmlidXRv
cnM+PGF1dGhvcnM+PGF1dGhvcj5IYW5hb2thLCBTaGlueWE8L2F1dGhvcj48YXV0aG9yPlBhbGFw
dXMsIEhhemVsIFBlcmV6PC9hdXRob3I+PC9hdXRob3JzPjwvY29udHJpYnV0b3JzPjx0aXRsZXM+
PHRpdGxlPlJlYXNvbmFibGUgY29uY2Vzc2lvbiBwZXJpb2QgZm9yIGJ1aWxkLW9wZXJhdGUtdHJh
bnNmZXIgcm9hZCBwcm9qZWN0cyBpbiB0aGUgUGhpbGlwcGluZXM8L3RpdGxlPjxzZWNvbmRhcnkt
dGl0bGU+SW50ZXJuYXRpb25hbCBKb3VybmFsIG9mIFByb2plY3QgTWFuYWdlbWVudDwvc2Vjb25k
YXJ5LXRpdGxlPjwvdGl0bGVzPjxwZXJpb2RpY2FsPjxmdWxsLXRpdGxlPkludGVybmF0aW9uYWwg
Sm91cm5hbCBvZiBQcm9qZWN0IE1hbmFnZW1lbnQ8L2Z1bGwtdGl0bGU+PC9wZXJpb2RpY2FsPjxw
YWdlcz45MzgtOTQ5PC9wYWdlcz48dm9sdW1lPjMwPC92b2x1bWU+PG51bWJlcj44PC9udW1iZXI+
PGRhdGVzPjx5ZWFyPjIwMTI8L3llYXI+PC9kYXRlcz48aXNibj4wMjYzLTc4NjM8L2lzYm4+PHVy
bHM+PC91cmxzPjwvcmVjb3JkPjwvQ2l0ZT48L0VuZE5vdGU+AG==
</w:fldData>
        </w:fldChar>
      </w:r>
      <w:r w:rsidRPr="00082ABC">
        <w:instrText xml:space="preserve"> ADDIN EN.CITE </w:instrText>
      </w:r>
      <w:r w:rsidRPr="00082ABC">
        <w:fldChar w:fldCharType="begin">
          <w:fldData xml:space="preserve">PEVuZE5vdGU+PENpdGU+PEF1dGhvcj5OZzwvQXV0aG9yPjxZZWFyPjIwMDc8L1llYXI+PFJlY051
bT4xNzQ8L1JlY051bT48RGlzcGxheVRleHQ+KENhcmJvbmFyYSBldCBhbC4sIDIwMTRhOyBIYW5h
b2thICZhbXA7IFBhbGFwdXMsIDIwMTI7IE5nLCBYaWUsIENoZXVuZywgJmFtcDsgSmVmZmVyaWVz
LCAyMDA3OyBaaGFuZywgMjAwOSk8L0Rpc3BsYXlUZXh0PjxyZWNvcmQ+PHJlYy1udW1iZXI+MTc0
PC9yZWMtbnVtYmVyPjxmb3JlaWduLWtleXM+PGtleSBhcHA9IkVOIiBkYi1pZD0id2VyNTVyYXcw
MHRkdmhlenhmaXZ6OTBqeDV6MmRmZXc5ZHBkIiB0aW1lc3RhbXA9IjE0OTI1ODg5MjciPjE3NDwv
a2V5PjxrZXkgYXBwPSJFTldlYiIgZGItaWQ9IiI+MDwva2V5PjwvZm9yZWlnbi1rZXlzPjxyZWYt
dHlwZSBuYW1lPSJKb3VybmFsIEFydGljbGUiPjE3PC9yZWYtdHlwZT48Y29udHJpYnV0b3JzPjxh
dXRob3JzPjxhdXRob3I+TmcsIFMuIFRob21hczwvYXV0aG9yPjxhdXRob3I+WGllLCBKaW5nemh1
PC9hdXRob3I+PGF1dGhvcj5DaGV1bmcsIFlhdSBLYWk8L2F1dGhvcj48YXV0aG9yPkplZmZlcmll
cywgTWFyY3VzPC9hdXRob3I+PC9hdXRob3JzPjwvY29udHJpYnV0b3JzPjx0aXRsZXM+PHRpdGxl
PkEgc2ltdWxhdGlvbiBtb2RlbCBmb3Igb3B0aW1pemluZyB0aGUgY29uY2Vzc2lvbiBwZXJpb2Qg
b2YgcHVibGlj4oCTcHJpdmF0ZSBwYXJ0bmVyc2hpcHMgc2NoZW1lczwvdGl0bGU+PHNlY29uZGFy
eS10aXRsZT5JbnRlcm5hdGlvbmFsIEpvdXJuYWwgb2YgUHJvamVjdCBNYW5hZ2VtZW50PC9zZWNv
bmRhcnktdGl0bGU+PC90aXRsZXM+PHBlcmlvZGljYWw+PGZ1bGwtdGl0bGU+SW50ZXJuYXRpb25h
bCBKb3VybmFsIG9mIFByb2plY3QgTWFuYWdlbWVudDwvZnVsbC10aXRsZT48L3BlcmlvZGljYWw+
PHBhZ2VzPjc5MS03OTg8L3BhZ2VzPjx2b2x1bWU+MjU8L3ZvbHVtZT48bnVtYmVyPjg8L251bWJl
cj48ZGF0ZXM+PHllYXI+MjAwNzwveWVhcj48L2RhdGVzPjxpc2JuPjAyNjM3ODYzPC9pc2JuPjx1
cmxzPjwvdXJscz48L3JlY29yZD48L0NpdGU+PENpdGU+PEF1dGhvcj5DYXJib25hcmE8L0F1dGhv
cj48WWVhcj4yMDE0PC9ZZWFyPjxSZWNOdW0+MTcyPC9SZWNOdW0+PHJlY29yZD48cmVjLW51bWJl
cj4xNzI8L3JlYy1udW1iZXI+PGZvcmVpZ24ta2V5cz48a2V5IGFwcD0iRU4iIGRiLWlkPSJ3ZXI1
NXJhdzAwdGR2aGV6eGZpdno5MGp4NXoyZGZldzlkcGQiIHRpbWVzdGFtcD0iMTQ5MjQxOTQ2NyI+
MTcyPC9rZXk+PGtleSBhcHA9IkVOV2ViIiBkYi1pZD0iIj4wPC9rZXk+PC9mb3JlaWduLWtleXM+
PHJlZi10eXBlIG5hbWU9IkpvdXJuYWwgQXJ0aWNsZSI+MTc8L3JlZi10eXBlPjxjb250cmlidXRv
cnM+PGF1dGhvcnM+PGF1dGhvcj5DYXJib25hcmEsIE51bnppYTwvYXV0aG9yPjxhdXRob3I+Q29z
dGFudGlubywgTmljb2xhPC9hdXRob3I+PGF1dGhvcj5QZWxsZWdyaW5vLCBSb2JlcnRhPC9hdXRo
b3I+PC9hdXRob3JzPjwvY29udHJpYnV0b3JzPjx0aXRsZXM+PHRpdGxlPkNvbmNlc3Npb24gcGVy
aW9kIGZvciBQUFBzOiBBIHdpbuKAk3dpbiBtb2RlbCBmb3IgYSBmYWlyIHJpc2sgc2hhcmluZzwv
dGl0bGU+PHNlY29uZGFyeS10aXRsZT5JbnRlcm5hdGlvbmFsIEpvdXJuYWwgb2YgUHJvamVjdCBN
YW5hZ2VtZW50PC9zZWNvbmRhcnktdGl0bGU+PC90aXRsZXM+PHBlcmlvZGljYWw+PGZ1bGwtdGl0
bGU+SW50ZXJuYXRpb25hbCBKb3VybmFsIG9mIFByb2plY3QgTWFuYWdlbWVudDwvZnVsbC10aXRs
ZT48L3BlcmlvZGljYWw+PHBhZ2VzPjEyMjMtMTIzMjwvcGFnZXM+PHZvbHVtZT4zMjwvdm9sdW1l
PjxudW1iZXI+NzwvbnVtYmVyPjxkYXRlcz48eWVhcj4yMDE0PC95ZWFyPjwvZGF0ZXM+PGlzYm4+
MDI2Mzc4NjM8L2lzYm4+PHVybHM+PC91cmxzPjwvcmVjb3JkPjwvQ2l0ZT48Q2l0ZT48QXV0aG9y
PlpoYW5nPC9BdXRob3I+PFllYXI+MjAwOTwvWWVhcj48UmVjTnVtPjE5MTwvUmVjTnVtPjxyZWNv
cmQ+PHJlYy1udW1iZXI+MTkxPC9yZWMtbnVtYmVyPjxmb3JlaWduLWtleXM+PGtleSBhcHA9IkVO
IiBkYi1pZD0id2VyNTVyYXcwMHRkdmhlenhmaXZ6OTBqeDV6MmRmZXc5ZHBkIiB0aW1lc3RhbXA9
IjE0OTM2OTcwOTIiPjE5MTwva2V5PjwvZm9yZWlnbi1rZXlzPjxyZWYtdHlwZSBuYW1lPSJKb3Vy
bmFsIEFydGljbGUiPjE3PC9yZWYtdHlwZT48Y29udHJpYnV0b3JzPjxhdXRob3JzPjxhdXRob3I+
WmhhbmcsIFh1ZXFpbmc8L2F1dGhvcj48L2F1dGhvcnM+PC9jb250cmlidXRvcnM+PHRpdGxlcz48
dGl0bGU+V2lu4oCTd2luIGNvbmNlc3Npb24gcGVyaW9kIGRldGVybWluYXRpb24gbWV0aG9kb2xv
Z3k8L3RpdGxlPjxzZWNvbmRhcnktdGl0bGU+Sm91cm5hbCBvZiBDb25zdHJ1Y3Rpb24gRW5naW5l
ZXJpbmcgYW5kIE1hbmFnZW1lbnQ8L3NlY29uZGFyeS10aXRsZT48L3RpdGxlcz48cGVyaW9kaWNh
bD48ZnVsbC10aXRsZT5Kb3VybmFsIG9mIENvbnN0cnVjdGlvbiBFbmdpbmVlcmluZyBhbmQgTWFu
YWdlbWVudDwvZnVsbC10aXRsZT48L3BlcmlvZGljYWw+PHBhZ2VzPjU1MC01NTg8L3BhZ2VzPjx2
b2x1bWU+MTM1PC92b2x1bWU+PG51bWJlcj42PC9udW1iZXI+PGRhdGVzPjx5ZWFyPjIwMDk8L3ll
YXI+PC9kYXRlcz48aXNibj4wNzMzLTkzNjQ8L2lzYm4+PHVybHM+PC91cmxzPjwvcmVjb3JkPjwv
Q2l0ZT48Q2l0ZT48QXV0aG9yPkhhbmFva2E8L0F1dGhvcj48WWVhcj4yMDEyPC9ZZWFyPjxSZWNO
dW0+MTg1PC9SZWNOdW0+PHJlY29yZD48cmVjLW51bWJlcj4xODU8L3JlYy1udW1iZXI+PGZvcmVp
Z24ta2V5cz48a2V5IGFwcD0iRU4iIGRiLWlkPSJ3ZXI1NXJhdzAwdGR2aGV6eGZpdno5MGp4NXoy
ZGZldzlkcGQiIHRpbWVzdGFtcD0iMTQ5MzYxMDI3NyI+MTg1PC9rZXk+PC9mb3JlaWduLWtleXM+
PHJlZi10eXBlIG5hbWU9IkpvdXJuYWwgQXJ0aWNsZSI+MTc8L3JlZi10eXBlPjxjb250cmlidXRv
cnM+PGF1dGhvcnM+PGF1dGhvcj5IYW5hb2thLCBTaGlueWE8L2F1dGhvcj48YXV0aG9yPlBhbGFw
dXMsIEhhemVsIFBlcmV6PC9hdXRob3I+PC9hdXRob3JzPjwvY29udHJpYnV0b3JzPjx0aXRsZXM+
PHRpdGxlPlJlYXNvbmFibGUgY29uY2Vzc2lvbiBwZXJpb2QgZm9yIGJ1aWxkLW9wZXJhdGUtdHJh
bnNmZXIgcm9hZCBwcm9qZWN0cyBpbiB0aGUgUGhpbGlwcGluZXM8L3RpdGxlPjxzZWNvbmRhcnkt
dGl0bGU+SW50ZXJuYXRpb25hbCBKb3VybmFsIG9mIFByb2plY3QgTWFuYWdlbWVudDwvc2Vjb25k
YXJ5LXRpdGxlPjwvdGl0bGVzPjxwZXJpb2RpY2FsPjxmdWxsLXRpdGxlPkludGVybmF0aW9uYWwg
Sm91cm5hbCBvZiBQcm9qZWN0IE1hbmFnZW1lbnQ8L2Z1bGwtdGl0bGU+PC9wZXJpb2RpY2FsPjxw
YWdlcz45MzgtOTQ5PC9wYWdlcz48dm9sdW1lPjMwPC92b2x1bWU+PG51bWJlcj44PC9udW1iZXI+
PGRhdGVzPjx5ZWFyPjIwMTI8L3llYXI+PC9kYXRlcz48aXNibj4wMjYzLTc4NjM8L2lzYm4+PHVy
bHM+PC91cmxzPjwvcmVjb3JkPjwvQ2l0ZT48L0VuZE5vdGU+AG==
</w:fldData>
        </w:fldChar>
      </w:r>
      <w:r w:rsidRPr="00082ABC">
        <w:instrText xml:space="preserve"> ADDIN EN.CITE.DATA </w:instrText>
      </w:r>
      <w:r w:rsidRPr="00082ABC">
        <w:fldChar w:fldCharType="end"/>
      </w:r>
      <w:r w:rsidRPr="00082ABC">
        <w:fldChar w:fldCharType="separate"/>
      </w:r>
      <w:r w:rsidRPr="00082ABC">
        <w:t>(</w:t>
      </w:r>
      <w:hyperlink w:anchor="_ENREF_5" w:tooltip="Carbonara, 2014 #172" w:history="1">
        <w:r w:rsidRPr="00082ABC">
          <w:t>Carbonara et al., 2014</w:t>
        </w:r>
      </w:hyperlink>
      <w:r w:rsidRPr="00082ABC">
        <w:t xml:space="preserve">; </w:t>
      </w:r>
      <w:hyperlink w:anchor="_ENREF_10" w:tooltip="Hanaoka, 2012 #185" w:history="1">
        <w:r w:rsidRPr="00082ABC">
          <w:t>Hanaoka and Palapus, 2012</w:t>
        </w:r>
      </w:hyperlink>
      <w:r w:rsidRPr="00082ABC">
        <w:t xml:space="preserve">; </w:t>
      </w:r>
      <w:hyperlink w:anchor="_ENREF_29" w:tooltip="Zhang, 2009 #191" w:history="1">
        <w:r w:rsidRPr="00082ABC">
          <w:t>Zhang, 2009</w:t>
        </w:r>
      </w:hyperlink>
      <w:r w:rsidRPr="00082ABC">
        <w:t>)</w:t>
      </w:r>
      <w:r w:rsidRPr="00082ABC">
        <w:fldChar w:fldCharType="end"/>
      </w:r>
      <w:r w:rsidRPr="00082ABC">
        <w:t>. Since private investors want to earn a profit that is at least higher than the minimum return on investment that they could accept, the lower revenue limit is defined as shown in Eq. (2):</w:t>
      </w:r>
    </w:p>
    <w:p w:rsidR="00082ABC" w:rsidRPr="00082ABC" w:rsidRDefault="003375FF" w:rsidP="00082ABC">
      <m:oMath>
        <m:sSub>
          <m:sSubPr>
            <m:ctrlPr>
              <w:rPr>
                <w:rFonts w:ascii="Cambria Math" w:hAnsi="Cambria Math"/>
                <w:lang w:val="en-AU" w:eastAsia="zh-CN"/>
              </w:rPr>
            </m:ctrlPr>
          </m:sSubPr>
          <m:e>
            <m:r>
              <w:rPr>
                <w:rFonts w:ascii="Cambria Math" w:hAnsi="Cambria Math"/>
              </w:rPr>
              <m:t>NPV</m:t>
            </m:r>
          </m:e>
          <m:sub>
            <m:r>
              <w:rPr>
                <w:rFonts w:ascii="Cambria Math" w:hAnsi="Cambria Math"/>
              </w:rPr>
              <m:t>c</m:t>
            </m:r>
          </m:sub>
        </m:sSub>
        <m:r>
          <w:rPr>
            <w:rFonts w:ascii="Cambria Math" w:hAnsi="Cambria Math"/>
          </w:rPr>
          <m:t>≥</m:t>
        </m:r>
        <m:d>
          <m:dPr>
            <m:ctrlPr>
              <w:rPr>
                <w:rFonts w:ascii="Cambria Math" w:hAnsi="Cambria Math"/>
                <w:lang w:val="en-AU" w:eastAsia="zh-CN"/>
              </w:rPr>
            </m:ctrlPr>
          </m:dPr>
          <m:e>
            <m:sSub>
              <m:sSubPr>
                <m:ctrlPr>
                  <w:rPr>
                    <w:rFonts w:ascii="Cambria Math" w:hAnsi="Cambria Math"/>
                    <w:lang w:val="en-AU" w:eastAsia="zh-CN"/>
                  </w:rPr>
                </m:ctrlPr>
              </m:sSubPr>
              <m:e>
                <m:r>
                  <w:rPr>
                    <w:rFonts w:ascii="Cambria Math" w:hAnsi="Cambria Math"/>
                  </w:rPr>
                  <m:t>I</m:t>
                </m:r>
              </m:e>
              <m:sub>
                <m:r>
                  <w:rPr>
                    <w:rFonts w:ascii="Cambria Math" w:hAnsi="Cambria Math"/>
                  </w:rPr>
                  <m:t>c</m:t>
                </m:r>
              </m:sub>
            </m:sSub>
            <m:r>
              <w:rPr>
                <w:rFonts w:ascii="Cambria Math" w:hAnsi="Cambria Math"/>
              </w:rPr>
              <m:t>+</m:t>
            </m:r>
            <m:sSub>
              <m:sSubPr>
                <m:ctrlPr>
                  <w:rPr>
                    <w:rFonts w:ascii="Cambria Math" w:hAnsi="Cambria Math"/>
                    <w:lang w:val="en-AU" w:eastAsia="zh-CN"/>
                  </w:rPr>
                </m:ctrlPr>
              </m:sSubPr>
              <m:e>
                <m:r>
                  <w:rPr>
                    <w:rFonts w:ascii="Cambria Math" w:hAnsi="Cambria Math"/>
                  </w:rPr>
                  <m:t>I</m:t>
                </m:r>
              </m:e>
              <m:sub>
                <m:r>
                  <w:rPr>
                    <w:rFonts w:ascii="Cambria Math" w:hAnsi="Cambria Math"/>
                  </w:rPr>
                  <m:t>i</m:t>
                </m:r>
              </m:sub>
            </m:sSub>
          </m:e>
        </m:d>
        <m:r>
          <w:rPr>
            <w:rFonts w:ascii="Cambria Math" w:hAnsi="Cambria Math"/>
          </w:rPr>
          <m:t>×</m:t>
        </m:r>
        <m:sSub>
          <m:sSubPr>
            <m:ctrlPr>
              <w:rPr>
                <w:rFonts w:ascii="Cambria Math" w:hAnsi="Cambria Math"/>
                <w:lang w:val="en-AU" w:eastAsia="zh-CN"/>
              </w:rPr>
            </m:ctrlPr>
          </m:sSubPr>
          <m:e>
            <m:r>
              <w:rPr>
                <w:rFonts w:ascii="Cambria Math" w:hAnsi="Cambria Math"/>
              </w:rPr>
              <m:t>ROI</m:t>
            </m:r>
          </m:e>
          <m:sub>
            <m:r>
              <w:rPr>
                <w:rFonts w:ascii="Cambria Math" w:hAnsi="Cambria Math"/>
              </w:rPr>
              <m:t>min</m:t>
            </m:r>
          </m:sub>
        </m:sSub>
        <m:r>
          <w:rPr>
            <w:rFonts w:ascii="Cambria Math" w:hAnsi="Cambria Math"/>
          </w:rPr>
          <m:t xml:space="preserve">  </m:t>
        </m:r>
      </m:oMath>
      <w:r w:rsidR="00082ABC" w:rsidRPr="00082ABC">
        <w:rPr>
          <w:rFonts w:hint="eastAsia"/>
        </w:rPr>
        <w:t>(</w:t>
      </w:r>
      <w:r w:rsidR="00082ABC" w:rsidRPr="00082ABC">
        <w:t>2)</w:t>
      </w:r>
    </w:p>
    <w:p w:rsidR="00082ABC" w:rsidRPr="00082ABC" w:rsidRDefault="00082ABC" w:rsidP="00082ABC">
      <w:r w:rsidRPr="00082ABC">
        <w:t xml:space="preserve">where </w:t>
      </w:r>
      <m:oMath>
        <m:sSub>
          <m:sSubPr>
            <m:ctrlPr>
              <w:rPr>
                <w:rFonts w:ascii="Cambria Math" w:hAnsi="Cambria Math"/>
                <w:lang w:val="en-AU" w:eastAsia="zh-CN"/>
              </w:rPr>
            </m:ctrlPr>
          </m:sSubPr>
          <m:e>
            <m:r>
              <w:rPr>
                <w:rFonts w:ascii="Cambria Math" w:hAnsi="Cambria Math"/>
              </w:rPr>
              <m:t>NPV</m:t>
            </m:r>
          </m:e>
          <m:sub>
            <m:r>
              <w:rPr>
                <w:rFonts w:ascii="Cambria Math" w:hAnsi="Cambria Math"/>
              </w:rPr>
              <m:t>c</m:t>
            </m:r>
          </m:sub>
        </m:sSub>
      </m:oMath>
      <w:r w:rsidRPr="00082ABC">
        <w:t xml:space="preserve"> is the cumulative net present value for private investors during the concession period, whose value can be indicated as </w:t>
      </w:r>
      <m:oMath>
        <m:nary>
          <m:naryPr>
            <m:chr m:val="∑"/>
            <m:limLoc m:val="undOvr"/>
            <m:ctrlPr>
              <w:rPr>
                <w:rFonts w:ascii="Cambria Math" w:hAnsi="Cambria Math"/>
                <w:lang w:val="en-AU" w:eastAsia="zh-CN"/>
              </w:rPr>
            </m:ctrlPr>
          </m:naryPr>
          <m:sub>
            <m:r>
              <w:rPr>
                <w:rFonts w:ascii="Cambria Math" w:hAnsi="Cambria Math"/>
              </w:rPr>
              <m:t>t=</m:t>
            </m:r>
            <m:sSub>
              <m:sSubPr>
                <m:ctrlPr>
                  <w:rPr>
                    <w:rFonts w:ascii="Cambria Math" w:hAnsi="Cambria Math"/>
                    <w:lang w:val="en-AU" w:eastAsia="zh-CN"/>
                  </w:rPr>
                </m:ctrlPr>
              </m:sSubPr>
              <m:e>
                <m:r>
                  <w:rPr>
                    <w:rFonts w:ascii="Cambria Math" w:hAnsi="Cambria Math"/>
                  </w:rPr>
                  <m:t>t</m:t>
                </m:r>
              </m:e>
              <m:sub>
                <m:r>
                  <w:rPr>
                    <w:rFonts w:ascii="Cambria Math" w:hAnsi="Cambria Math"/>
                  </w:rPr>
                  <m:t>0</m:t>
                </m:r>
              </m:sub>
            </m:sSub>
          </m:sub>
          <m:sup>
            <m:sSub>
              <m:sSubPr>
                <m:ctrlPr>
                  <w:rPr>
                    <w:rFonts w:ascii="Cambria Math" w:hAnsi="Cambria Math"/>
                    <w:lang w:val="en-AU" w:eastAsia="zh-CN"/>
                  </w:rPr>
                </m:ctrlPr>
              </m:sSubPr>
              <m:e>
                <m:r>
                  <w:rPr>
                    <w:rFonts w:ascii="Cambria Math" w:hAnsi="Cambria Math"/>
                  </w:rPr>
                  <m:t>t</m:t>
                </m:r>
              </m:e>
              <m:sub>
                <m:r>
                  <w:rPr>
                    <w:rFonts w:ascii="Cambria Math" w:hAnsi="Cambria Math"/>
                  </w:rPr>
                  <m:t>e</m:t>
                </m:r>
              </m:sub>
            </m:sSub>
          </m:sup>
          <m:e>
            <m:f>
              <m:fPr>
                <m:ctrlPr>
                  <w:rPr>
                    <w:rFonts w:ascii="Cambria Math" w:hAnsi="Cambria Math"/>
                    <w:lang w:val="en-AU" w:eastAsia="zh-CN"/>
                  </w:rPr>
                </m:ctrlPr>
              </m:fPr>
              <m:num>
                <m:sSub>
                  <m:sSubPr>
                    <m:ctrlPr>
                      <w:rPr>
                        <w:rFonts w:ascii="Cambria Math" w:hAnsi="Cambria Math"/>
                        <w:lang w:val="en-AU" w:eastAsia="zh-CN"/>
                      </w:rPr>
                    </m:ctrlPr>
                  </m:sSubPr>
                  <m:e>
                    <m:r>
                      <w:rPr>
                        <w:rFonts w:ascii="Cambria Math" w:hAnsi="Cambria Math"/>
                      </w:rPr>
                      <m:t>R</m:t>
                    </m:r>
                  </m:e>
                  <m:sub>
                    <m:r>
                      <w:rPr>
                        <w:rFonts w:ascii="Cambria Math" w:hAnsi="Cambria Math"/>
                      </w:rPr>
                      <m:t>t</m:t>
                    </m:r>
                  </m:sub>
                </m:sSub>
                <m:r>
                  <w:rPr>
                    <w:rFonts w:ascii="Cambria Math" w:hAnsi="Cambria Math"/>
                  </w:rPr>
                  <m:t>-</m:t>
                </m:r>
                <m:sSub>
                  <m:sSubPr>
                    <m:ctrlPr>
                      <w:rPr>
                        <w:rFonts w:ascii="Cambria Math" w:hAnsi="Cambria Math"/>
                        <w:lang w:val="en-AU" w:eastAsia="zh-CN"/>
                      </w:rPr>
                    </m:ctrlPr>
                  </m:sSubPr>
                  <m:e>
                    <m:sSub>
                      <m:sSubPr>
                        <m:ctrlPr>
                          <w:rPr>
                            <w:rFonts w:ascii="Cambria Math" w:hAnsi="Cambria Math"/>
                            <w:lang w:val="en-AU" w:eastAsia="zh-CN"/>
                          </w:rPr>
                        </m:ctrlPr>
                      </m:sSubPr>
                      <m:e>
                        <m:r>
                          <w:rPr>
                            <w:rFonts w:ascii="Cambria Math" w:hAnsi="Cambria Math"/>
                          </w:rPr>
                          <m:t>I</m:t>
                        </m:r>
                      </m:e>
                      <m:sub>
                        <m:r>
                          <w:rPr>
                            <w:rFonts w:ascii="Cambria Math" w:hAnsi="Cambria Math"/>
                          </w:rPr>
                          <m:t>O&amp;M</m:t>
                        </m:r>
                      </m:sub>
                    </m:sSub>
                  </m:e>
                  <m:sub>
                    <m:r>
                      <w:rPr>
                        <w:rFonts w:ascii="Cambria Math" w:hAnsi="Cambria Math"/>
                      </w:rPr>
                      <m:t>t</m:t>
                    </m:r>
                  </m:sub>
                </m:sSub>
              </m:num>
              <m:den>
                <m:sSup>
                  <m:sSupPr>
                    <m:ctrlPr>
                      <w:rPr>
                        <w:rFonts w:ascii="Cambria Math" w:hAnsi="Cambria Math"/>
                        <w:lang w:val="en-AU" w:eastAsia="zh-CN"/>
                      </w:rPr>
                    </m:ctrlPr>
                  </m:sSupPr>
                  <m:e>
                    <m:d>
                      <m:dPr>
                        <m:ctrlPr>
                          <w:rPr>
                            <w:rFonts w:ascii="Cambria Math" w:hAnsi="Cambria Math"/>
                            <w:lang w:val="en-AU" w:eastAsia="zh-CN"/>
                          </w:rPr>
                        </m:ctrlPr>
                      </m:dPr>
                      <m:e>
                        <m:r>
                          <w:rPr>
                            <w:rFonts w:ascii="Cambria Math" w:hAnsi="Cambria Math"/>
                          </w:rPr>
                          <m:t>1+r</m:t>
                        </m:r>
                      </m:e>
                    </m:d>
                  </m:e>
                  <m:sup>
                    <m:r>
                      <w:rPr>
                        <w:rFonts w:ascii="Cambria Math" w:hAnsi="Cambria Math"/>
                      </w:rPr>
                      <m:t>t</m:t>
                    </m:r>
                  </m:sup>
                </m:sSup>
              </m:den>
            </m:f>
          </m:e>
        </m:nary>
      </m:oMath>
      <w:r w:rsidRPr="00082ABC">
        <w:t xml:space="preserve">. </w:t>
      </w:r>
      <m:oMath>
        <m:sSub>
          <m:sSubPr>
            <m:ctrlPr>
              <w:rPr>
                <w:rFonts w:ascii="Cambria Math" w:hAnsi="Cambria Math"/>
                <w:lang w:val="en-AU" w:eastAsia="zh-CN"/>
              </w:rPr>
            </m:ctrlPr>
          </m:sSubPr>
          <m:e>
            <m:r>
              <w:rPr>
                <w:rFonts w:ascii="Cambria Math" w:hAnsi="Cambria Math"/>
              </w:rPr>
              <m:t>t</m:t>
            </m:r>
          </m:e>
          <m:sub>
            <m:r>
              <w:rPr>
                <w:rFonts w:ascii="Cambria Math" w:hAnsi="Cambria Math"/>
              </w:rPr>
              <m:t>e</m:t>
            </m:r>
          </m:sub>
        </m:sSub>
      </m:oMath>
      <w:r w:rsidRPr="00082ABC">
        <w:rPr>
          <w:rFonts w:hint="eastAsia"/>
        </w:rPr>
        <w:t xml:space="preserve"> </w:t>
      </w:r>
      <w:r w:rsidRPr="00082ABC">
        <w:t>gives the instant of time when the concession period ends.</w:t>
      </w:r>
      <m:oMath>
        <m:r>
          <w:rPr>
            <w:rFonts w:ascii="Cambria Math" w:hAnsi="Cambria Math"/>
          </w:rPr>
          <m:t xml:space="preserve"> </m:t>
        </m:r>
        <m:sSub>
          <m:sSubPr>
            <m:ctrlPr>
              <w:rPr>
                <w:rFonts w:ascii="Cambria Math" w:hAnsi="Cambria Math"/>
                <w:lang w:val="en-AU" w:eastAsia="zh-CN"/>
              </w:rPr>
            </m:ctrlPr>
          </m:sSubPr>
          <m:e>
            <m:r>
              <w:rPr>
                <w:rFonts w:ascii="Cambria Math" w:hAnsi="Cambria Math"/>
              </w:rPr>
              <m:t>ROI</m:t>
            </m:r>
          </m:e>
          <m:sub>
            <m:r>
              <w:rPr>
                <w:rFonts w:ascii="Cambria Math" w:hAnsi="Cambria Math"/>
              </w:rPr>
              <m:t>min</m:t>
            </m:r>
          </m:sub>
        </m:sSub>
        <m:r>
          <w:rPr>
            <w:rFonts w:ascii="Cambria Math" w:hAnsi="Cambria Math"/>
          </w:rPr>
          <m:t xml:space="preserve"> </m:t>
        </m:r>
      </m:oMath>
      <w:r w:rsidRPr="00082ABC">
        <w:t>is the private investors’ expected minimum return on investment.</w:t>
      </w:r>
      <w:r w:rsidRPr="00082ABC">
        <w:rPr>
          <w:rFonts w:hint="eastAsia"/>
        </w:rPr>
        <w:t xml:space="preserve"> In</w:t>
      </w:r>
      <w:r w:rsidRPr="00082ABC">
        <w:t xml:space="preserve"> terms of the principle that an investment decision only can be made when the expected revenue </w:t>
      </w:r>
      <w:r w:rsidRPr="00082ABC">
        <w:rPr>
          <w:rFonts w:hint="eastAsia"/>
        </w:rPr>
        <w:t>exceed</w:t>
      </w:r>
      <w:r w:rsidRPr="00082ABC">
        <w:t>s the opportunity cost, the value of</w:t>
      </w:r>
      <m:oMath>
        <m:r>
          <m:rPr>
            <m:sty m:val="p"/>
          </m:rPr>
          <w:rPr>
            <w:rFonts w:ascii="Cambria Math" w:hAnsi="Cambria Math"/>
          </w:rPr>
          <m:t xml:space="preserve"> </m:t>
        </m:r>
        <m:sSub>
          <m:sSubPr>
            <m:ctrlPr>
              <w:rPr>
                <w:rFonts w:ascii="Cambria Math" w:hAnsi="Cambria Math"/>
                <w:lang w:val="en-AU" w:eastAsia="zh-CN"/>
              </w:rPr>
            </m:ctrlPr>
          </m:sSubPr>
          <m:e>
            <m:r>
              <w:rPr>
                <w:rFonts w:ascii="Cambria Math" w:hAnsi="Cambria Math"/>
              </w:rPr>
              <m:t>ROI</m:t>
            </m:r>
          </m:e>
          <m:sub>
            <m:r>
              <w:rPr>
                <w:rFonts w:ascii="Cambria Math" w:hAnsi="Cambria Math"/>
              </w:rPr>
              <m:t>min</m:t>
            </m:r>
          </m:sub>
        </m:sSub>
        <m:r>
          <m:rPr>
            <m:sty m:val="p"/>
          </m:rPr>
          <w:rPr>
            <w:rFonts w:ascii="Cambria Math" w:hAnsi="Cambria Math"/>
          </w:rPr>
          <m:t xml:space="preserve"> </m:t>
        </m:r>
      </m:oMath>
      <w:r w:rsidRPr="00082ABC">
        <w:t xml:space="preserve">should be around the profit rate of a similar project. </w:t>
      </w:r>
    </w:p>
    <w:p w:rsidR="00082ABC" w:rsidRPr="00082ABC" w:rsidRDefault="00082ABC" w:rsidP="00082ABC"/>
    <w:p w:rsidR="00082ABC" w:rsidRPr="00082ABC" w:rsidRDefault="00082ABC" w:rsidP="00082ABC">
      <w:r w:rsidRPr="00082ABC">
        <w:rPr>
          <w:rFonts w:hint="eastAsia"/>
        </w:rPr>
        <w:t>On</w:t>
      </w:r>
      <w:r w:rsidRPr="00082ABC">
        <w:t xml:space="preserve"> the other hand, </w:t>
      </w:r>
      <w:r w:rsidRPr="00082ABC">
        <w:rPr>
          <w:rFonts w:hint="eastAsia"/>
        </w:rPr>
        <w:t>the</w:t>
      </w:r>
      <w:r w:rsidRPr="00082ABC">
        <w:t xml:space="preserve"> </w:t>
      </w:r>
      <w:r w:rsidRPr="00082ABC">
        <w:rPr>
          <w:rFonts w:hint="eastAsia"/>
        </w:rPr>
        <w:t>government</w:t>
      </w:r>
      <w:r w:rsidRPr="00082ABC">
        <w:t>s have the intention to control the private investors’ profit within a reasonable range, so they define an upper revenue limit for private investors as shown in Eq. (3):</w:t>
      </w:r>
    </w:p>
    <w:p w:rsidR="00082ABC" w:rsidRPr="00082ABC" w:rsidRDefault="003375FF" w:rsidP="00082ABC">
      <m:oMath>
        <m:sSub>
          <m:sSubPr>
            <m:ctrlPr>
              <w:rPr>
                <w:rFonts w:ascii="Cambria Math" w:hAnsi="Cambria Math"/>
                <w:lang w:val="en-AU" w:eastAsia="zh-CN"/>
              </w:rPr>
            </m:ctrlPr>
          </m:sSubPr>
          <m:e>
            <m:r>
              <w:rPr>
                <w:rFonts w:ascii="Cambria Math" w:hAnsi="Cambria Math"/>
              </w:rPr>
              <m:t>NPV</m:t>
            </m:r>
          </m:e>
          <m:sub>
            <m:r>
              <w:rPr>
                <w:rFonts w:ascii="Cambria Math" w:hAnsi="Cambria Math"/>
              </w:rPr>
              <m:t>c</m:t>
            </m:r>
          </m:sub>
        </m:sSub>
        <m:r>
          <w:rPr>
            <w:rFonts w:ascii="Cambria Math" w:hAnsi="Cambria Math"/>
          </w:rPr>
          <m:t>≤</m:t>
        </m:r>
        <m:d>
          <m:dPr>
            <m:ctrlPr>
              <w:rPr>
                <w:rFonts w:ascii="Cambria Math" w:hAnsi="Cambria Math"/>
                <w:lang w:val="en-AU" w:eastAsia="zh-CN"/>
              </w:rPr>
            </m:ctrlPr>
          </m:dPr>
          <m:e>
            <m:sSub>
              <m:sSubPr>
                <m:ctrlPr>
                  <w:rPr>
                    <w:rFonts w:ascii="Cambria Math" w:hAnsi="Cambria Math"/>
                    <w:lang w:val="en-AU" w:eastAsia="zh-CN"/>
                  </w:rPr>
                </m:ctrlPr>
              </m:sSubPr>
              <m:e>
                <m:r>
                  <w:rPr>
                    <w:rFonts w:ascii="Cambria Math" w:hAnsi="Cambria Math"/>
                  </w:rPr>
                  <m:t>I</m:t>
                </m:r>
              </m:e>
              <m:sub>
                <m:r>
                  <w:rPr>
                    <w:rFonts w:ascii="Cambria Math" w:hAnsi="Cambria Math"/>
                  </w:rPr>
                  <m:t>c</m:t>
                </m:r>
              </m:sub>
            </m:sSub>
            <m:r>
              <w:rPr>
                <w:rFonts w:ascii="Cambria Math" w:hAnsi="Cambria Math"/>
              </w:rPr>
              <m:t>+</m:t>
            </m:r>
            <m:sSub>
              <m:sSubPr>
                <m:ctrlPr>
                  <w:rPr>
                    <w:rFonts w:ascii="Cambria Math" w:hAnsi="Cambria Math"/>
                    <w:lang w:val="en-AU" w:eastAsia="zh-CN"/>
                  </w:rPr>
                </m:ctrlPr>
              </m:sSubPr>
              <m:e>
                <m:r>
                  <w:rPr>
                    <w:rFonts w:ascii="Cambria Math" w:hAnsi="Cambria Math"/>
                  </w:rPr>
                  <m:t>I</m:t>
                </m:r>
              </m:e>
              <m:sub>
                <m:r>
                  <w:rPr>
                    <w:rFonts w:ascii="Cambria Math" w:hAnsi="Cambria Math"/>
                  </w:rPr>
                  <m:t>i</m:t>
                </m:r>
              </m:sub>
            </m:sSub>
          </m:e>
        </m:d>
        <m:r>
          <w:rPr>
            <w:rFonts w:ascii="Cambria Math" w:hAnsi="Cambria Math"/>
          </w:rPr>
          <m:t>×</m:t>
        </m:r>
        <m:sSub>
          <m:sSubPr>
            <m:ctrlPr>
              <w:rPr>
                <w:rFonts w:ascii="Cambria Math" w:hAnsi="Cambria Math"/>
                <w:lang w:val="en-AU" w:eastAsia="zh-CN"/>
              </w:rPr>
            </m:ctrlPr>
          </m:sSubPr>
          <m:e>
            <m:r>
              <w:rPr>
                <w:rFonts w:ascii="Cambria Math" w:hAnsi="Cambria Math"/>
              </w:rPr>
              <m:t>ROI</m:t>
            </m:r>
          </m:e>
          <m:sub>
            <m:r>
              <w:rPr>
                <w:rFonts w:ascii="Cambria Math" w:hAnsi="Cambria Math"/>
              </w:rPr>
              <m:t>max</m:t>
            </m:r>
          </m:sub>
        </m:sSub>
      </m:oMath>
      <w:r w:rsidR="00082ABC" w:rsidRPr="00082ABC">
        <w:rPr>
          <w:rFonts w:hint="eastAsia"/>
        </w:rPr>
        <w:t xml:space="preserve"> </w:t>
      </w:r>
      <w:r w:rsidR="00082ABC" w:rsidRPr="00082ABC">
        <w:t>(3)</w:t>
      </w:r>
    </w:p>
    <w:p w:rsidR="00082ABC" w:rsidRPr="00082ABC" w:rsidRDefault="00082ABC" w:rsidP="00082ABC">
      <w:r w:rsidRPr="00082ABC">
        <w:t xml:space="preserve">where </w:t>
      </w:r>
      <m:oMath>
        <m:sSub>
          <m:sSubPr>
            <m:ctrlPr>
              <w:rPr>
                <w:rFonts w:ascii="Cambria Math" w:hAnsi="Cambria Math"/>
                <w:lang w:val="en-AU" w:eastAsia="zh-CN"/>
              </w:rPr>
            </m:ctrlPr>
          </m:sSubPr>
          <m:e>
            <m:r>
              <w:rPr>
                <w:rFonts w:ascii="Cambria Math" w:hAnsi="Cambria Math"/>
              </w:rPr>
              <m:t>ROI</m:t>
            </m:r>
          </m:e>
          <m:sub>
            <m:r>
              <w:rPr>
                <w:rFonts w:ascii="Cambria Math" w:hAnsi="Cambria Math"/>
              </w:rPr>
              <m:t>max</m:t>
            </m:r>
          </m:sub>
        </m:sSub>
        <m:r>
          <w:rPr>
            <w:rFonts w:ascii="Cambria Math" w:hAnsi="Cambria Math"/>
          </w:rPr>
          <m:t xml:space="preserve"> </m:t>
        </m:r>
      </m:oMath>
      <w:r w:rsidRPr="00082ABC">
        <w:t xml:space="preserve">is the maximum return rate allowed by the government to the private sector. </w:t>
      </w:r>
      <m:oMath>
        <m:sSub>
          <m:sSubPr>
            <m:ctrlPr>
              <w:rPr>
                <w:rFonts w:ascii="Cambria Math" w:hAnsi="Cambria Math"/>
                <w:lang w:val="en-AU" w:eastAsia="zh-CN"/>
              </w:rPr>
            </m:ctrlPr>
          </m:sSubPr>
          <m:e>
            <m:r>
              <w:rPr>
                <w:rFonts w:ascii="Cambria Math" w:hAnsi="Cambria Math"/>
              </w:rPr>
              <m:t>ROI</m:t>
            </m:r>
          </m:e>
          <m:sub>
            <m:r>
              <w:rPr>
                <w:rFonts w:ascii="Cambria Math" w:hAnsi="Cambria Math"/>
              </w:rPr>
              <m:t>m</m:t>
            </m:r>
            <m:r>
              <m:rPr>
                <m:sty m:val="p"/>
              </m:rPr>
              <w:rPr>
                <w:rFonts w:ascii="Cambria Math" w:hAnsi="Cambria Math"/>
              </w:rPr>
              <m:t>ax</m:t>
            </m:r>
          </m:sub>
        </m:sSub>
      </m:oMath>
      <w:r w:rsidRPr="00082ABC">
        <w:t xml:space="preserve"> is usually decided during the pre-construction negotiation stage so as to </w:t>
      </w:r>
      <w:r w:rsidRPr="00082ABC">
        <w:rPr>
          <w:rFonts w:hint="eastAsia"/>
        </w:rPr>
        <w:t>a</w:t>
      </w:r>
      <w:r w:rsidRPr="00082ABC">
        <w:t>void overly lucrative conditions for private investors. The sole independent variable in Eq. (2) and Eq. (3) is the length of the concession period. As shown in Figure 1, through solving these two inequalit</w:t>
      </w:r>
      <w:r w:rsidRPr="00082ABC">
        <w:rPr>
          <w:rFonts w:hint="eastAsia"/>
        </w:rPr>
        <w:t>ies</w:t>
      </w:r>
      <w:r w:rsidRPr="00082ABC">
        <w:t>, the minimum and maximum lengths of the concession period are produced. The project parties should settle the concession period within th</w:t>
      </w:r>
      <w:r w:rsidRPr="00082ABC">
        <w:rPr>
          <w:rFonts w:hint="eastAsia"/>
        </w:rPr>
        <w:t>e</w:t>
      </w:r>
      <w:r w:rsidRPr="00082ABC">
        <w:t xml:space="preserve"> range of</w:t>
      </w:r>
      <m:oMath>
        <m:r>
          <w:rPr>
            <w:rFonts w:ascii="Cambria Math" w:hAnsi="Cambria Math"/>
          </w:rPr>
          <m:t xml:space="preserve"> [</m:t>
        </m:r>
        <m:sSub>
          <m:sSubPr>
            <m:ctrlPr>
              <w:rPr>
                <w:rFonts w:ascii="Cambria Math" w:hAnsi="Cambria Math"/>
                <w:lang w:val="en-AU" w:eastAsia="zh-CN"/>
              </w:rPr>
            </m:ctrlPr>
          </m:sSubPr>
          <m:e>
            <m:r>
              <w:rPr>
                <w:rFonts w:ascii="Cambria Math" w:hAnsi="Cambria Math"/>
              </w:rPr>
              <m:t>t</m:t>
            </m:r>
          </m:e>
          <m:sub>
            <m:r>
              <w:rPr>
                <w:rFonts w:ascii="Cambria Math" w:hAnsi="Cambria Math"/>
              </w:rPr>
              <m:t xml:space="preserve">cmin, </m:t>
            </m:r>
          </m:sub>
        </m:sSub>
        <m:sSub>
          <m:sSubPr>
            <m:ctrlPr>
              <w:rPr>
                <w:rFonts w:ascii="Cambria Math" w:hAnsi="Cambria Math"/>
                <w:lang w:val="en-AU" w:eastAsia="zh-CN"/>
              </w:rPr>
            </m:ctrlPr>
          </m:sSubPr>
          <m:e>
            <m:r>
              <w:rPr>
                <w:rFonts w:ascii="Cambria Math" w:hAnsi="Cambria Math"/>
              </w:rPr>
              <m:t>t</m:t>
            </m:r>
          </m:e>
          <m:sub>
            <m:r>
              <w:rPr>
                <w:rFonts w:ascii="Cambria Math" w:hAnsi="Cambria Math"/>
              </w:rPr>
              <m:t>cmax</m:t>
            </m:r>
          </m:sub>
        </m:sSub>
        <m:r>
          <w:rPr>
            <w:rFonts w:ascii="Cambria Math" w:hAnsi="Cambria Math"/>
          </w:rPr>
          <m:t>]</m:t>
        </m:r>
      </m:oMath>
      <w:r w:rsidRPr="00082ABC">
        <w:t>.</w:t>
      </w:r>
    </w:p>
    <w:p w:rsidR="00B14A54" w:rsidRDefault="00082ABC" w:rsidP="00EA043F">
      <w:pPr>
        <w:ind w:firstLineChars="300" w:firstLine="720"/>
        <w:jc w:val="both"/>
        <w:rPr>
          <w:lang w:eastAsia="en-US"/>
        </w:rPr>
      </w:pPr>
      <w:r w:rsidRPr="00082ABC">
        <w:rPr>
          <w:noProof/>
        </w:rPr>
        <w:lastRenderedPageBreak/>
        <w:drawing>
          <wp:inline distT="0" distB="0" distL="0" distR="0" wp14:anchorId="340BD4FC" wp14:editId="44F6A907">
            <wp:extent cx="4631981" cy="291201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1536" cy="2918019"/>
                    </a:xfrm>
                    <a:prstGeom prst="rect">
                      <a:avLst/>
                    </a:prstGeom>
                  </pic:spPr>
                </pic:pic>
              </a:graphicData>
            </a:graphic>
          </wp:inline>
        </w:drawing>
      </w:r>
    </w:p>
    <w:p w:rsidR="00082ABC" w:rsidRDefault="00082ABC" w:rsidP="00082ABC">
      <w:pPr>
        <w:pStyle w:val="SectionSub-heading"/>
      </w:pPr>
      <w:r w:rsidRPr="00082ABC">
        <w:t>Real option</w:t>
      </w:r>
      <w:r w:rsidRPr="00082ABC">
        <w:rPr>
          <w:rFonts w:hint="eastAsia"/>
        </w:rPr>
        <w:t>s</w:t>
      </w:r>
      <w:r w:rsidRPr="00082ABC">
        <w:t xml:space="preserve"> in PPP projects</w:t>
      </w:r>
    </w:p>
    <w:p w:rsidR="00082ABC" w:rsidRPr="00082ABC" w:rsidRDefault="00082ABC" w:rsidP="00082ABC">
      <w:r w:rsidRPr="00082ABC">
        <w:t xml:space="preserve">The NPV method cannot adequately reflect the value of uncertainties in </w:t>
      </w:r>
      <w:r w:rsidRPr="00082ABC">
        <w:rPr>
          <w:rFonts w:hint="eastAsia"/>
        </w:rPr>
        <w:t>a</w:t>
      </w:r>
      <w:r w:rsidRPr="00082ABC">
        <w:t xml:space="preserve"> project, which </w:t>
      </w:r>
      <w:r w:rsidRPr="00082ABC">
        <w:rPr>
          <w:rFonts w:hint="eastAsia"/>
        </w:rPr>
        <w:t>may</w:t>
      </w:r>
      <w:r w:rsidRPr="00082ABC">
        <w:t xml:space="preserve"> lead to a </w:t>
      </w:r>
      <w:r w:rsidRPr="00082ABC">
        <w:rPr>
          <w:rFonts w:hint="eastAsia"/>
        </w:rPr>
        <w:t>f</w:t>
      </w:r>
      <w:r w:rsidRPr="00082ABC">
        <w:t>atal investment decision (</w:t>
      </w:r>
      <w:proofErr w:type="spellStart"/>
      <w:r w:rsidRPr="00082ABC">
        <w:t>Trigeorgis</w:t>
      </w:r>
      <w:proofErr w:type="spellEnd"/>
      <w:r w:rsidRPr="00082ABC">
        <w:t xml:space="preserve"> and </w:t>
      </w:r>
      <w:proofErr w:type="spellStart"/>
      <w:r w:rsidRPr="00082ABC">
        <w:t>Reuer</w:t>
      </w:r>
      <w:proofErr w:type="spellEnd"/>
      <w:r w:rsidRPr="00082ABC">
        <w:t>, 2017). Even though some parameters, like traffic volume, can be measured in a stochastic way, the value of ‘rights’ embodied in the project is still waiting to be uncovered</w:t>
      </w:r>
      <w:r w:rsidRPr="00082ABC">
        <w:rPr>
          <w:rFonts w:hint="eastAsia"/>
        </w:rPr>
        <w:t xml:space="preserve"> in</w:t>
      </w:r>
      <w:r w:rsidRPr="00082ABC">
        <w:t xml:space="preserve"> traditional NPV analysis. </w:t>
      </w:r>
      <w:hyperlink w:anchor="_ENREF_17" w:tooltip="Leviäkangas, 2002 #197" w:history="1">
        <w:r w:rsidRPr="00082ABC">
          <w:fldChar w:fldCharType="begin"/>
        </w:r>
        <w:r w:rsidRPr="00082ABC">
          <w:instrText xml:space="preserve"> ADDIN EN.CITE &lt;EndNote&gt;&lt;Cite AuthorYear="1"&gt;&lt;Author&gt;Leviäkangas&lt;/Author&gt;&lt;Year&gt;2002&lt;/Year&gt;&lt;RecNum&gt;197&lt;/RecNum&gt;&lt;DisplayText&gt;Leviäkangas and Lähesmaa (2002)&lt;/DisplayText&gt;&lt;record&gt;&lt;rec-number&gt;197&lt;/rec-number&gt;&lt;foreign-keys&gt;&lt;key app="EN" db-id="wer55raw00tdvhezxfivz90jx5z2dfew9dpd" timestamp="1493705577"&gt;197&lt;/key&gt;&lt;/foreign-keys&gt;&lt;ref-type name="Journal Article"&gt;17&lt;/ref-type&gt;&lt;contributors&gt;&lt;authors&gt;&lt;author&gt;Leviäkangas, Pekka&lt;/author&gt;&lt;author&gt;Lähesmaa, Jukka&lt;/author&gt;&lt;/authors&gt;&lt;/contributors&gt;&lt;titles&gt;&lt;title&gt;Profitability evaluation of intelligent transport system investments&lt;/title&gt;&lt;secondary-title&gt;Journal of Transportation Engineering&lt;/secondary-title&gt;&lt;/titles&gt;&lt;periodical&gt;&lt;full-title&gt;Journal of Transportation Engineering&lt;/full-title&gt;&lt;/periodical&gt;&lt;pages&gt;276-286&lt;/pages&gt;&lt;volume&gt;128&lt;/volume&gt;&lt;number&gt;3&lt;/number&gt;&lt;dates&gt;&lt;year&gt;2002&lt;/year&gt;&lt;/dates&gt;&lt;isbn&gt;0733-947X&lt;/isbn&gt;&lt;urls&gt;&lt;/urls&gt;&lt;/record&gt;&lt;/Cite&gt;&lt;/EndNote&gt;</w:instrText>
        </w:r>
        <w:r w:rsidRPr="00082ABC">
          <w:fldChar w:fldCharType="separate"/>
        </w:r>
        <w:r w:rsidRPr="00082ABC">
          <w:t>Leviäkangas and Lähesmaa (2002)</w:t>
        </w:r>
        <w:r w:rsidRPr="00082ABC">
          <w:fldChar w:fldCharType="end"/>
        </w:r>
      </w:hyperlink>
      <w:r w:rsidRPr="00082ABC">
        <w:t xml:space="preserve"> argued that NPV analysis cannot grasp all uncertain variables in a transport infrastructure project. However, real options analysis provides a way to evaluate the ‘rights’ offered by uncertainties and tries to reflect the true value of a project in dynamic market surroundings </w:t>
      </w:r>
      <w:r w:rsidRPr="00082ABC">
        <w:fldChar w:fldCharType="begin"/>
      </w:r>
      <w:r w:rsidRPr="00082ABC">
        <w:instrText xml:space="preserve"> ADDIN EN.CITE &lt;EndNote&gt;&lt;Cite&gt;&lt;Author&gt;Dixit&lt;/Author&gt;&lt;Year&gt;1994&lt;/Year&gt;&lt;RecNum&gt;188&lt;/RecNum&gt;&lt;DisplayText&gt;(Dixit &amp;amp; Pindyck, 1994)&lt;/DisplayText&gt;&lt;record&gt;&lt;rec-number&gt;188&lt;/rec-number&gt;&lt;foreign-keys&gt;&lt;key app="EN" db-id="wer55raw00tdvhezxfivz90jx5z2dfew9dpd" timestamp="1493611662"&gt;188&lt;/key&gt;&lt;/foreign-keys&gt;&lt;ref-type name="Book"&gt;6&lt;/ref-type&gt;&lt;contributors&gt;&lt;authors&gt;&lt;author&gt;Dixit, Avinash K&lt;/author&gt;&lt;author&gt;Pindyck, Robert S&lt;/author&gt;&lt;/authors&gt;&lt;/contributors&gt;&lt;titles&gt;&lt;title&gt;Investment under uncertainty&lt;/title&gt;&lt;/titles&gt;&lt;dates&gt;&lt;year&gt;1994&lt;/year&gt;&lt;/dates&gt;&lt;pub-location&gt;Princeton, USA&lt;/pub-location&gt;&lt;publisher&gt;Princeton university press&lt;/publisher&gt;&lt;orig-pub&gt;Princeton, USA&lt;/orig-pub&gt;&lt;isbn&gt;0691034109&lt;/isbn&gt;&lt;urls&gt;&lt;/urls&gt;&lt;/record&gt;&lt;/Cite&gt;&lt;/EndNote&gt;</w:instrText>
      </w:r>
      <w:r w:rsidRPr="00082ABC">
        <w:fldChar w:fldCharType="separate"/>
      </w:r>
      <w:r w:rsidRPr="00082ABC">
        <w:t>(</w:t>
      </w:r>
      <w:hyperlink w:anchor="_ENREF_9" w:tooltip="Dixit, 1994 #188" w:history="1">
        <w:r w:rsidRPr="00082ABC">
          <w:t>Dixit and Pindyck, 1994</w:t>
        </w:r>
      </w:hyperlink>
      <w:r w:rsidRPr="00082ABC">
        <w:t>)</w:t>
      </w:r>
      <w:r w:rsidRPr="00082ABC">
        <w:fldChar w:fldCharType="end"/>
      </w:r>
      <w:r w:rsidRPr="00082ABC">
        <w:t xml:space="preserve">. Real options analysis has been widely used in the field of PPP project management, as it allows for calculating the value of flexibilities in the lifecycle of PPP projects. </w:t>
      </w:r>
    </w:p>
    <w:p w:rsidR="00082ABC" w:rsidRPr="00082ABC" w:rsidRDefault="00082ABC" w:rsidP="00082ABC"/>
    <w:p w:rsidR="00082ABC" w:rsidRPr="00082ABC" w:rsidRDefault="00082ABC" w:rsidP="00082ABC">
      <w:r w:rsidRPr="00082ABC">
        <w:t>The private investors may hold different kinds of option rights during the operational stage. The option to expan</w:t>
      </w:r>
      <w:r w:rsidRPr="00082ABC">
        <w:rPr>
          <w:rFonts w:hint="eastAsia"/>
        </w:rPr>
        <w:t>d</w:t>
      </w:r>
      <w:r w:rsidRPr="00082ABC">
        <w:t xml:space="preserve"> means that if the market surroundings are experiencing an upward trend </w:t>
      </w:r>
      <w:r w:rsidRPr="00082ABC">
        <w:rPr>
          <w:rFonts w:hint="eastAsia"/>
        </w:rPr>
        <w:t>a</w:t>
      </w:r>
      <w:r w:rsidRPr="00082ABC">
        <w:t xml:space="preserve">nd the project is carried out in stages, the value added could come from the expansion opportunities in the future </w:t>
      </w:r>
      <w:r w:rsidRPr="00082ABC">
        <w:fldChar w:fldCharType="begin"/>
      </w:r>
      <w:r w:rsidRPr="00082ABC">
        <w:instrText xml:space="preserve"> ADDIN EN.CITE &lt;EndNote&gt;&lt;Cite&gt;&lt;Author&gt;Cheah&lt;/Author&gt;&lt;Year&gt;2009&lt;/Year&gt;&lt;RecNum&gt;194&lt;/RecNum&gt;&lt;DisplayText&gt;(Cheah &amp;amp; Garvin, 2009)&lt;/DisplayText&gt;&lt;record&gt;&lt;rec-number&gt;194&lt;/rec-number&gt;&lt;foreign-keys&gt;&lt;key app="EN" db-id="wer55raw00tdvhezxfivz90jx5z2dfew9dpd" timestamp="1493704023"&gt;194&lt;/key&gt;&lt;/foreign-keys&gt;&lt;ref-type name="Journal Article"&gt;17&lt;/ref-type&gt;&lt;contributors&gt;&lt;authors&gt;&lt;author&gt;Cheah, Charles YJ&lt;/author&gt;&lt;author&gt;Garvin, Michael J&lt;/author&gt;&lt;/authors&gt;&lt;/contributors&gt;&lt;titles&gt;&lt;title&gt;Application of real options in PPP infrastructure projects: opportunities and challenges&lt;/title&gt;&lt;secondary-title&gt;Policy, Finance &amp;amp; Management for Public-Private Partnerships. Wiley-Blackwell&lt;/secondary-title&gt;&lt;/titles&gt;&lt;periodical&gt;&lt;full-title&gt;Policy, Finance &amp;amp; Management for Public-Private Partnerships. Wiley-Blackwell&lt;/full-title&gt;&lt;/periodical&gt;&lt;pages&gt;229-249&lt;/pages&gt;&lt;dates&gt;&lt;year&gt;2009&lt;/year&gt;&lt;/dates&gt;&lt;urls&gt;&lt;/urls&gt;&lt;/record&gt;&lt;/Cite&gt;&lt;/EndNote&gt;</w:instrText>
      </w:r>
      <w:r w:rsidRPr="00082ABC">
        <w:fldChar w:fldCharType="separate"/>
      </w:r>
      <w:r w:rsidRPr="00082ABC">
        <w:t>(</w:t>
      </w:r>
      <w:hyperlink w:anchor="_ENREF_7" w:tooltip="Cheah, 2009 #194" w:history="1">
        <w:r w:rsidRPr="00082ABC">
          <w:t>Cheah and Garvin, 2009</w:t>
        </w:r>
      </w:hyperlink>
      <w:r w:rsidRPr="00082ABC">
        <w:t>)</w:t>
      </w:r>
      <w:r w:rsidRPr="00082ABC">
        <w:fldChar w:fldCharType="end"/>
      </w:r>
      <w:r w:rsidRPr="00082ABC">
        <w:t xml:space="preserve">. The option to delay is produced when the project manager decides to delay the project to receive more market information, but sometimes the cost of delaying a project is also high </w:t>
      </w:r>
      <w:r w:rsidRPr="00082ABC">
        <w:fldChar w:fldCharType="begin"/>
      </w:r>
      <w:r w:rsidRPr="00082ABC">
        <w:instrText xml:space="preserve"> ADDIN EN.CITE &lt;EndNote&gt;&lt;Cite&gt;&lt;Author&gt;Kremljak&lt;/Author&gt;&lt;Year&gt;2014&lt;/Year&gt;&lt;RecNum&gt;214&lt;/RecNum&gt;&lt;DisplayText&gt;(Kremljak, Palcic, &amp;amp; Kafol, 2014)&lt;/DisplayText&gt;&lt;record&gt;&lt;rec-number&gt;214&lt;/rec-number&gt;&lt;foreign-keys&gt;&lt;key app="EN" db-id="wer55raw00tdvhezxfivz90jx5z2dfew9dpd" timestamp="1496555433"&gt;214&lt;/key&gt;&lt;/foreign-keys&gt;&lt;ref-type name="Journal Article"&gt;17&lt;/ref-type&gt;&lt;contributors&gt;&lt;authors&gt;&lt;author&gt;Kremljak, Z&lt;/author&gt;&lt;author&gt;Palcic, I&lt;/author&gt;&lt;author&gt;Kafol, C&lt;/author&gt;&lt;/authors&gt;&lt;/contributors&gt;&lt;titles&gt;&lt;title&gt;Project evaluation using cost-time investment simulation&lt;/title&gt;&lt;secondary-title&gt;International Journal of Simulation Modelling&lt;/secondary-title&gt;&lt;/titles&gt;&lt;periodical&gt;&lt;full-title&gt;International Journal of Simulation Modelling&lt;/full-title&gt;&lt;/periodical&gt;&lt;pages&gt;447-457&lt;/pages&gt;&lt;volume&gt;13&lt;/volume&gt;&lt;number&gt;4&lt;/number&gt;&lt;dates&gt;&lt;year&gt;2014&lt;/year&gt;&lt;/dates&gt;&lt;urls&gt;&lt;/urls&gt;&lt;/record&gt;&lt;/Cite&gt;&lt;/EndNote&gt;</w:instrText>
      </w:r>
      <w:r w:rsidRPr="00082ABC">
        <w:fldChar w:fldCharType="separate"/>
      </w:r>
      <w:r w:rsidRPr="00082ABC">
        <w:t>(</w:t>
      </w:r>
      <w:hyperlink w:anchor="_ENREF_15" w:tooltip="Kremljak, 2014 #214" w:history="1">
        <w:r w:rsidRPr="00082ABC">
          <w:t>Kremljak et al., 2014</w:t>
        </w:r>
      </w:hyperlink>
      <w:r w:rsidRPr="00082ABC">
        <w:t>)</w:t>
      </w:r>
      <w:r w:rsidRPr="00082ABC">
        <w:fldChar w:fldCharType="end"/>
      </w:r>
      <w:r w:rsidRPr="00082ABC">
        <w:t xml:space="preserve">. In most countries carrying out PPP projects, </w:t>
      </w:r>
      <w:r w:rsidRPr="00082ABC">
        <w:rPr>
          <w:rFonts w:hint="eastAsia"/>
        </w:rPr>
        <w:t>t</w:t>
      </w:r>
      <w:r w:rsidRPr="00082ABC">
        <w:t xml:space="preserve">he exit mechanism for the project is specified in the contract documents </w:t>
      </w:r>
      <w:r w:rsidRPr="00082ABC">
        <w:rPr>
          <w:rFonts w:hint="eastAsia"/>
        </w:rPr>
        <w:t>and</w:t>
      </w:r>
      <w:r w:rsidRPr="00082ABC">
        <w:t xml:space="preserve"> protected by the law of the land </w:t>
      </w:r>
      <w:r w:rsidRPr="00082ABC">
        <w:fldChar w:fldCharType="begin"/>
      </w:r>
      <w:r w:rsidRPr="00082ABC">
        <w:instrText xml:space="preserve"> ADDIN EN.CITE &lt;EndNote&gt;&lt;Cite&gt;&lt;Author&gt;Bulnina&lt;/Author&gt;&lt;Year&gt;2015&lt;/Year&gt;&lt;RecNum&gt;215&lt;/RecNum&gt;&lt;DisplayText&gt;(Bulnina, Askhatova, Kabasheva, &amp;amp; Rudaleva, 2015)&lt;/DisplayText&gt;&lt;record&gt;&lt;rec-number&gt;215&lt;/rec-number&gt;&lt;foreign-keys&gt;&lt;key app="EN" db-id="wer55raw00tdvhezxfivz90jx5z2dfew9dpd" timestamp="1496555498"&gt;215&lt;/key&gt;&lt;/foreign-keys&gt;&lt;ref-type name="Journal Article"&gt;17&lt;/ref-type&gt;&lt;contributors&gt;&lt;authors&gt;&lt;author&gt;Bulnina, IS&lt;/author&gt;&lt;author&gt;Askhatova, LI&lt;/author&gt;&lt;author&gt;Kabasheva, IA&lt;/author&gt;&lt;author&gt;Rudaleva, IA&lt;/author&gt;&lt;/authors&gt;&lt;/contributors&gt;&lt;titles&gt;&lt;title&gt;Public and Private Partnership as a Mechanism of Government and Business Cooperation&lt;/title&gt;&lt;secondary-title&gt;Mediterranean Journal of Social Sciences&lt;/secondary-title&gt;&lt;/titles&gt;&lt;periodical&gt;&lt;full-title&gt;Mediterranean Journal of Social Sciences&lt;/full-title&gt;&lt;/periodical&gt;&lt;pages&gt;453&lt;/pages&gt;&lt;volume&gt;6&lt;/volume&gt;&lt;number&gt;1 S3&lt;/number&gt;&lt;dates&gt;&lt;year&gt;2015&lt;/year&gt;&lt;/dates&gt;&lt;isbn&gt;2039-2117&lt;/isbn&gt;&lt;urls&gt;&lt;/urls&gt;&lt;/record&gt;&lt;/Cite&gt;&lt;/EndNote&gt;</w:instrText>
      </w:r>
      <w:r w:rsidRPr="00082ABC">
        <w:fldChar w:fldCharType="separate"/>
      </w:r>
      <w:r w:rsidRPr="00082ABC">
        <w:t>(</w:t>
      </w:r>
      <w:hyperlink w:anchor="_ENREF_4" w:tooltip="Bulnina, 2015 #215" w:history="1">
        <w:r w:rsidRPr="00082ABC">
          <w:t>Bulnina et al., 2015</w:t>
        </w:r>
      </w:hyperlink>
      <w:r w:rsidRPr="00082ABC">
        <w:t>)</w:t>
      </w:r>
      <w:r w:rsidRPr="00082ABC">
        <w:fldChar w:fldCharType="end"/>
      </w:r>
      <w:r w:rsidRPr="00082ABC">
        <w:t xml:space="preserve">. Hence, the project investors hold the option to abandon, which means that if the market surroundings go into extremely unfavourable conditions, they could choose to quit and receive a certain amount of money in return. </w:t>
      </w:r>
    </w:p>
    <w:p w:rsidR="00082ABC" w:rsidRPr="00082ABC" w:rsidRDefault="00082ABC" w:rsidP="00082ABC"/>
    <w:p w:rsidR="00082ABC" w:rsidRPr="00082ABC" w:rsidRDefault="00082ABC" w:rsidP="00082ABC">
      <w:r w:rsidRPr="00082ABC">
        <w:rPr>
          <w:rFonts w:hint="eastAsia"/>
        </w:rPr>
        <w:t>The</w:t>
      </w:r>
      <w:r w:rsidRPr="00082ABC">
        <w:t xml:space="preserve">re are two main real-options pricing models. One is the binomial lattice model whose basis is </w:t>
      </w:r>
      <w:r w:rsidRPr="00082ABC">
        <w:rPr>
          <w:rFonts w:hint="eastAsia"/>
        </w:rPr>
        <w:t>the</w:t>
      </w:r>
      <w:r w:rsidRPr="00082ABC">
        <w:t xml:space="preserve"> discrete random walk, and the other one is the Black-Scholes pricing model. The binomial lattice model assumes that there are two directions for unstable variables to move: upward or downward. If the variable moves up, the value in the next stage should be the initial value multiplied by the quotient</w:t>
      </w:r>
      <w:r w:rsidRPr="00082ABC">
        <w:rPr>
          <w:rFonts w:hint="eastAsia"/>
        </w:rPr>
        <w:t xml:space="preserve"> </w:t>
      </w:r>
      <w:r w:rsidRPr="00082ABC">
        <w:t>(u) and otherwise, multiplied by the quotient</w:t>
      </w:r>
      <w:r w:rsidRPr="00082ABC">
        <w:rPr>
          <w:rFonts w:hint="eastAsia"/>
        </w:rPr>
        <w:t xml:space="preserve"> </w:t>
      </w:r>
      <w:r w:rsidRPr="00082ABC">
        <w:t xml:space="preserve">(d), and the probability of moving up is </w:t>
      </w:r>
      <w:r w:rsidRPr="00082ABC">
        <w:lastRenderedPageBreak/>
        <w:t>expressed as (p), where</w:t>
      </w:r>
      <m:oMath>
        <m:r>
          <w:rPr>
            <w:rFonts w:ascii="Cambria Math" w:hAnsi="Cambria Math"/>
          </w:rPr>
          <m:t xml:space="preserve"> u=</m:t>
        </m:r>
        <m:sSup>
          <m:sSupPr>
            <m:ctrlPr>
              <w:rPr>
                <w:rFonts w:ascii="Cambria Math" w:hAnsi="Cambria Math"/>
                <w:lang w:val="en-AU" w:eastAsia="zh-CN"/>
              </w:rPr>
            </m:ctrlPr>
          </m:sSupPr>
          <m:e>
            <m:r>
              <w:rPr>
                <w:rFonts w:ascii="Cambria Math" w:hAnsi="Cambria Math"/>
              </w:rPr>
              <m:t>e</m:t>
            </m:r>
          </m:e>
          <m:sup>
            <m:sSup>
              <m:sSupPr>
                <m:ctrlPr>
                  <w:rPr>
                    <w:rFonts w:ascii="Cambria Math" w:hAnsi="Cambria Math"/>
                    <w:lang w:val="en-AU" w:eastAsia="zh-CN"/>
                  </w:rPr>
                </m:ctrlPr>
              </m:sSupPr>
              <m:e>
                <m:r>
                  <w:rPr>
                    <w:rFonts w:ascii="Cambria Math" w:hAnsi="Cambria Math"/>
                  </w:rPr>
                  <m:t>σ</m:t>
                </m:r>
              </m:e>
              <m:sup>
                <m:r>
                  <w:rPr>
                    <w:rFonts w:ascii="Cambria Math" w:hAnsi="Cambria Math"/>
                  </w:rPr>
                  <m:t>'</m:t>
                </m:r>
              </m:sup>
            </m:sSup>
            <m:rad>
              <m:radPr>
                <m:degHide m:val="1"/>
                <m:ctrlPr>
                  <w:rPr>
                    <w:rFonts w:ascii="Cambria Math" w:hAnsi="Cambria Math"/>
                    <w:lang w:val="en-AU" w:eastAsia="zh-CN"/>
                  </w:rPr>
                </m:ctrlPr>
              </m:radPr>
              <m:deg/>
              <m:e>
                <m:r>
                  <w:rPr>
                    <w:rFonts w:ascii="Cambria Math" w:hAnsi="Cambria Math"/>
                  </w:rPr>
                  <m:t>∆t</m:t>
                </m:r>
              </m:e>
            </m:rad>
          </m:sup>
        </m:sSup>
        <m:r>
          <w:rPr>
            <w:rFonts w:ascii="Cambria Math" w:hAnsi="Cambria Math"/>
          </w:rPr>
          <m:t xml:space="preserve"> , d=</m:t>
        </m:r>
        <m:sSup>
          <m:sSupPr>
            <m:ctrlPr>
              <w:rPr>
                <w:rFonts w:ascii="Cambria Math" w:hAnsi="Cambria Math"/>
                <w:lang w:val="en-AU" w:eastAsia="zh-CN"/>
              </w:rPr>
            </m:ctrlPr>
          </m:sSupPr>
          <m:e>
            <m:r>
              <w:rPr>
                <w:rFonts w:ascii="Cambria Math" w:hAnsi="Cambria Math"/>
              </w:rPr>
              <m:t>e</m:t>
            </m:r>
          </m:e>
          <m:sup>
            <m:r>
              <w:rPr>
                <w:rFonts w:ascii="Cambria Math" w:hAnsi="Cambria Math"/>
              </w:rPr>
              <m:t>-</m:t>
            </m:r>
            <m:sSup>
              <m:sSupPr>
                <m:ctrlPr>
                  <w:rPr>
                    <w:rFonts w:ascii="Cambria Math" w:hAnsi="Cambria Math"/>
                    <w:lang w:val="en-AU" w:eastAsia="zh-CN"/>
                  </w:rPr>
                </m:ctrlPr>
              </m:sSupPr>
              <m:e>
                <m:r>
                  <w:rPr>
                    <w:rFonts w:ascii="Cambria Math" w:hAnsi="Cambria Math"/>
                  </w:rPr>
                  <m:t>σ</m:t>
                </m:r>
              </m:e>
              <m:sup>
                <m:r>
                  <w:rPr>
                    <w:rFonts w:ascii="Cambria Math" w:hAnsi="Cambria Math"/>
                  </w:rPr>
                  <m:t>'</m:t>
                </m:r>
              </m:sup>
            </m:sSup>
            <m:rad>
              <m:radPr>
                <m:degHide m:val="1"/>
                <m:ctrlPr>
                  <w:rPr>
                    <w:rFonts w:ascii="Cambria Math" w:hAnsi="Cambria Math"/>
                    <w:lang w:val="en-AU" w:eastAsia="zh-CN"/>
                  </w:rPr>
                </m:ctrlPr>
              </m:radPr>
              <m:deg/>
              <m:e>
                <m:r>
                  <w:rPr>
                    <w:rFonts w:ascii="Cambria Math" w:hAnsi="Cambria Math"/>
                  </w:rPr>
                  <m:t>∆t</m:t>
                </m:r>
              </m:e>
            </m:rad>
          </m:sup>
        </m:sSup>
        <m:r>
          <w:rPr>
            <w:rFonts w:ascii="Cambria Math" w:hAnsi="Cambria Math"/>
          </w:rPr>
          <m:t>, p=</m:t>
        </m:r>
        <m:f>
          <m:fPr>
            <m:ctrlPr>
              <w:rPr>
                <w:rFonts w:ascii="Cambria Math" w:hAnsi="Cambria Math"/>
                <w:lang w:val="en-AU" w:eastAsia="zh-CN"/>
              </w:rPr>
            </m:ctrlPr>
          </m:fPr>
          <m:num>
            <m:sSup>
              <m:sSupPr>
                <m:ctrlPr>
                  <w:rPr>
                    <w:rFonts w:ascii="Cambria Math" w:hAnsi="Cambria Math"/>
                    <w:lang w:val="en-AU" w:eastAsia="zh-CN"/>
                  </w:rPr>
                </m:ctrlPr>
              </m:sSupPr>
              <m:e>
                <m:r>
                  <w:rPr>
                    <w:rFonts w:ascii="Cambria Math" w:hAnsi="Cambria Math"/>
                  </w:rPr>
                  <m:t>e</m:t>
                </m:r>
              </m:e>
              <m:sup>
                <m:sSup>
                  <m:sSupPr>
                    <m:ctrlPr>
                      <w:rPr>
                        <w:rFonts w:ascii="Cambria Math" w:hAnsi="Cambria Math"/>
                        <w:lang w:val="en-AU" w:eastAsia="zh-CN"/>
                      </w:rPr>
                    </m:ctrlPr>
                  </m:sSupPr>
                  <m:e>
                    <m:r>
                      <w:rPr>
                        <w:rFonts w:ascii="Cambria Math" w:hAnsi="Cambria Math"/>
                      </w:rPr>
                      <m:t>r</m:t>
                    </m:r>
                  </m:e>
                  <m:sup>
                    <m:r>
                      <w:rPr>
                        <w:rFonts w:ascii="Cambria Math" w:hAnsi="Cambria Math"/>
                      </w:rPr>
                      <m:t>'</m:t>
                    </m:r>
                  </m:sup>
                </m:sSup>
                <m:r>
                  <w:rPr>
                    <w:rFonts w:ascii="Cambria Math" w:hAnsi="Cambria Math"/>
                  </w:rPr>
                  <m:t>∆t</m:t>
                </m:r>
              </m:sup>
            </m:sSup>
            <m:r>
              <w:rPr>
                <w:rFonts w:ascii="Cambria Math" w:hAnsi="Cambria Math"/>
              </w:rPr>
              <m:t>-d</m:t>
            </m:r>
          </m:num>
          <m:den>
            <m:r>
              <w:rPr>
                <w:rFonts w:ascii="Cambria Math" w:hAnsi="Cambria Math"/>
              </w:rPr>
              <m:t>u-d</m:t>
            </m:r>
          </m:den>
        </m:f>
        <m:r>
          <m:rPr>
            <m:sty m:val="p"/>
          </m:rPr>
          <w:rPr>
            <w:rFonts w:ascii="Cambria Math" w:hAnsi="Cambria Math"/>
          </w:rPr>
          <m:t xml:space="preserve"> </m:t>
        </m:r>
        <m:r>
          <m:rPr>
            <m:sty m:val="p"/>
          </m:rPr>
          <w:rPr>
            <w:rFonts w:ascii="Cambria Math" w:hAnsi="Cambria Math"/>
          </w:rPr>
          <w:fldChar w:fldCharType="begin"/>
        </m:r>
        <m:r>
          <m:rPr>
            <m:sty m:val="p"/>
          </m:rPr>
          <w:rPr>
            <w:rFonts w:ascii="Cambria Math" w:hAnsi="Cambria Math"/>
          </w:rPr>
          <m:t xml:space="preserve"> ADDIN EN.CITE &lt;EndNote&gt;&lt;Cite&gt;&lt;Author&gt;Hull&lt;/Author&gt;&lt;Year&gt;2010&lt;/Year&gt;&lt;RecNum&gt;190&lt;/RecNum&gt;&lt;DisplayText&gt;(Hull, 2010)&lt;/DisplayText&gt;&lt;record&gt;&lt;rec-number&gt;190&lt;/rec-number&gt;&lt;foreign-keys&gt;&lt;key app="EN" db-id="wer55raw00tdvhezxfivz90jx5z2dfew9dpd" timestamp="1493620077"&gt;190&lt;/key&gt;&lt;/foreign-keys&gt;&lt;ref-type name="Journal Article"&gt;17&lt;/ref-type&gt;&lt;contributors&gt;&lt;authors&gt;&lt;author&gt;Hull, John&lt;/author&gt;&lt;/authors&gt;&lt;/contributors&gt;&lt;titles&gt;&lt;title&gt;Options, Futures, and Other Derivatives, 7/e (With CD)&lt;/title&gt;&lt;secondary-title&gt;Pearson Education India&lt;/secondary-title&gt;&lt;/titles&gt;&lt;periodical&gt;&lt;full-title&gt;Pearson Education India&lt;/full-title&gt;&lt;/periodical&gt;&lt;pages&gt;40&lt;/pages&gt;&lt;volume&gt;6&lt;/volume&gt;&lt;dates&gt;&lt;year&gt;2010&lt;/year&gt;&lt;/dates&gt;&lt;urls&gt;&lt;/urls&gt;&lt;/record&gt;&lt;/Cite&gt;&lt;/EndNote&gt;</m:t>
        </m:r>
        <m:r>
          <m:rPr>
            <m:sty m:val="p"/>
          </m:rPr>
          <w:rPr>
            <w:rFonts w:ascii="Cambria Math" w:hAnsi="Cambria Math"/>
          </w:rPr>
          <w:fldChar w:fldCharType="separate"/>
        </m:r>
        <m:r>
          <m:rPr>
            <m:sty m:val="p"/>
          </m:rPr>
          <w:rPr>
            <w:rFonts w:ascii="Cambria Math" w:hAnsi="Cambria Math"/>
          </w:rPr>
          <m:t>(</m:t>
        </m:r>
        <w:hyperlink w:anchor="_ENREF_11" w:tooltip="Hull, 2010 #190" w:history="1">
          <m:r>
            <m:rPr>
              <m:sty m:val="p"/>
            </m:rPr>
            <w:rPr>
              <w:rFonts w:ascii="Cambria Math" w:hAnsi="Cambria Math"/>
            </w:rPr>
            <m:t>Hull, 2010</m:t>
          </m:r>
        </w:hyperlink>
        <m:r>
          <m:rPr>
            <m:sty m:val="p"/>
          </m:rPr>
          <w:rPr>
            <w:rFonts w:ascii="Cambria Math" w:hAnsi="Cambria Math"/>
          </w:rPr>
          <m:t>)</m:t>
        </m:r>
        <m:r>
          <m:rPr>
            <m:sty m:val="p"/>
          </m:rPr>
          <w:rPr>
            <w:rFonts w:ascii="Cambria Math" w:hAnsi="Cambria Math"/>
          </w:rPr>
          <w:fldChar w:fldCharType="end"/>
        </m:r>
        <m:r>
          <m:rPr>
            <m:sty m:val="p"/>
          </m:rPr>
          <w:rPr>
            <w:rFonts w:ascii="Cambria Math" w:hAnsi="Cambria Math"/>
          </w:rPr>
          <m:t xml:space="preserve">.   </m:t>
        </m:r>
        <m:sSup>
          <m:sSupPr>
            <m:ctrlPr>
              <w:rPr>
                <w:rFonts w:ascii="Cambria Math" w:hAnsi="Cambria Math"/>
                <w:lang w:val="en-AU" w:eastAsia="zh-CN"/>
              </w:rPr>
            </m:ctrlPr>
          </m:sSupPr>
          <m:e>
            <m:r>
              <w:rPr>
                <w:rFonts w:ascii="Cambria Math" w:hAnsi="Cambria Math"/>
              </w:rPr>
              <m:t>σ</m:t>
            </m:r>
          </m:e>
          <m:sup>
            <m:r>
              <w:rPr>
                <w:rFonts w:ascii="Cambria Math" w:hAnsi="Cambria Math"/>
              </w:rPr>
              <m:t>'</m:t>
            </m:r>
          </m:sup>
        </m:sSup>
      </m:oMath>
      <w:r w:rsidRPr="00082ABC">
        <w:t xml:space="preserve"> is the volatility of </w:t>
      </w:r>
      <w:r w:rsidRPr="00082ABC">
        <w:rPr>
          <w:rFonts w:hint="eastAsia"/>
        </w:rPr>
        <w:t>u</w:t>
      </w:r>
      <w:r w:rsidRPr="00082ABC">
        <w:t xml:space="preserve">nderlying assets. </w:t>
      </w:r>
      <m:oMath>
        <m:r>
          <w:rPr>
            <w:rFonts w:ascii="Cambria Math" w:hAnsi="Cambria Math"/>
          </w:rPr>
          <m:t>∆t</m:t>
        </m:r>
      </m:oMath>
      <w:r w:rsidRPr="00082ABC">
        <w:t xml:space="preserve"> is the step interval.</w:t>
      </w:r>
      <m:oMath>
        <m:r>
          <w:rPr>
            <w:rFonts w:ascii="Cambria Math" w:hAnsi="Cambria Math"/>
          </w:rPr>
          <m:t xml:space="preserve">  </m:t>
        </m:r>
        <m:sSup>
          <m:sSupPr>
            <m:ctrlPr>
              <w:rPr>
                <w:rFonts w:ascii="Cambria Math" w:hAnsi="Cambria Math"/>
                <w:lang w:val="en-AU" w:eastAsia="zh-CN"/>
              </w:rPr>
            </m:ctrlPr>
          </m:sSupPr>
          <m:e>
            <m:r>
              <w:rPr>
                <w:rFonts w:ascii="Cambria Math" w:hAnsi="Cambria Math"/>
              </w:rPr>
              <m:t>r</m:t>
            </m:r>
          </m:e>
          <m:sup>
            <m:r>
              <w:rPr>
                <w:rFonts w:ascii="Cambria Math" w:hAnsi="Cambria Math"/>
              </w:rPr>
              <m:t>'</m:t>
            </m:r>
          </m:sup>
        </m:sSup>
      </m:oMath>
      <w:r w:rsidRPr="00082ABC">
        <w:t xml:space="preserve"> is the risk-free rate. The main strength of the binomial lattice model is that the </w:t>
      </w:r>
      <w:r w:rsidRPr="00082ABC">
        <w:rPr>
          <w:rFonts w:hint="eastAsia"/>
        </w:rPr>
        <w:t>o</w:t>
      </w:r>
      <w:r w:rsidRPr="00082ABC">
        <w:t xml:space="preserve">ption execution point can be easily observed in a tree chart. However, </w:t>
      </w:r>
      <w:r w:rsidRPr="00082ABC">
        <w:rPr>
          <w:rFonts w:hint="eastAsia"/>
        </w:rPr>
        <w:t>if</w:t>
      </w:r>
      <w:r w:rsidRPr="00082ABC">
        <w:t xml:space="preserve"> the project has a long lifecycle or short step intervals, the calculation of the binomial lattice model becomes complicated </w:t>
      </w:r>
      <w:r w:rsidRPr="00082ABC">
        <w:rPr>
          <w:rFonts w:hint="eastAsia"/>
        </w:rPr>
        <w:t>and</w:t>
      </w:r>
      <w:r w:rsidRPr="00082ABC">
        <w:t xml:space="preserve"> it is hard to </w:t>
      </w:r>
      <w:r w:rsidRPr="00082ABC">
        <w:rPr>
          <w:rFonts w:hint="eastAsia"/>
        </w:rPr>
        <w:t>display the tree chart with</w:t>
      </w:r>
      <w:r w:rsidRPr="00082ABC">
        <w:t xml:space="preserve"> large branches. In this case, the Black-Scholes pricing model is more practical. </w:t>
      </w:r>
    </w:p>
    <w:p w:rsidR="00082ABC" w:rsidRPr="00082ABC" w:rsidRDefault="00082ABC" w:rsidP="00082ABC"/>
    <w:p w:rsidR="00082ABC" w:rsidRPr="00082ABC" w:rsidRDefault="00082ABC" w:rsidP="00082ABC">
      <w:r w:rsidRPr="00082ABC">
        <w:rPr>
          <w:rFonts w:hint="eastAsia"/>
        </w:rPr>
        <w:t>The</w:t>
      </w:r>
      <w:r w:rsidRPr="00082ABC">
        <w:t xml:space="preserve"> real option value in highly unstable surroundings can be a huge number. </w:t>
      </w:r>
      <w:hyperlink w:anchor="_ENREF_21" w:tooltip="Smit, 2012 #199" w:history="1">
        <w:r w:rsidRPr="00082ABC">
          <w:fldChar w:fldCharType="begin"/>
        </w:r>
        <w:r w:rsidRPr="00082ABC">
          <w:instrText xml:space="preserve"> ADDIN EN.CITE &lt;EndNote&gt;&lt;Cite AuthorYear="1"&gt;&lt;Author&gt;Smit&lt;/Author&gt;&lt;Year&gt;2012&lt;/Year&gt;&lt;RecNum&gt;199&lt;/RecNum&gt;&lt;DisplayText&gt;Smit and Trigeorgis (2012)&lt;/DisplayText&gt;&lt;record&gt;&lt;rec-number&gt;199&lt;/rec-number&gt;&lt;foreign-keys&gt;&lt;key app="EN" db-id="wer55raw00tdvhezxfivz90jx5z2dfew9dpd" timestamp="1493781449"&gt;199&lt;/key&gt;&lt;/foreign-keys&gt;&lt;ref-type name="Book"&gt;6&lt;/ref-type&gt;&lt;contributors&gt;&lt;authors&gt;&lt;author&gt;Smit, Han TJ&lt;/author&gt;&lt;author&gt;Trigeorgis, Lenos&lt;/author&gt;&lt;/authors&gt;&lt;/contributors&gt;&lt;titles&gt;&lt;title&gt;Strategic investment: Real options and games&lt;/title&gt;&lt;/titles&gt;&lt;dates&gt;&lt;year&gt;2012&lt;/year&gt;&lt;/dates&gt;&lt;pub-location&gt;Princeton, USA&lt;/pub-location&gt;&lt;publisher&gt;Princeton University Press&lt;/publisher&gt;&lt;isbn&gt;1400829399&lt;/isbn&gt;&lt;urls&gt;&lt;/urls&gt;&lt;/record&gt;&lt;/Cite&gt;&lt;/EndNote&gt;</w:instrText>
        </w:r>
        <w:r w:rsidRPr="00082ABC">
          <w:fldChar w:fldCharType="separate"/>
        </w:r>
        <w:r w:rsidRPr="00082ABC">
          <w:t>Smit and Trigeorgis (2012)</w:t>
        </w:r>
        <w:r w:rsidRPr="00082ABC">
          <w:fldChar w:fldCharType="end"/>
        </w:r>
      </w:hyperlink>
      <w:r w:rsidRPr="00082ABC">
        <w:t xml:space="preserve"> stated that the sum of NPV and option value equals the value of expanded NPV (ENPV), which can reflect the value of a project’s flexibility. In this research, ENPV analysis is adopted to predict the future cash inflow for the private investors instead of NPV. The concession period decision scope </w:t>
      </w:r>
      <w:r w:rsidRPr="00082ABC">
        <w:rPr>
          <w:rFonts w:hint="eastAsia"/>
        </w:rPr>
        <w:t>should</w:t>
      </w:r>
      <w:r w:rsidRPr="00082ABC">
        <w:t xml:space="preserve"> change downward, as shown in Figure 1, and the concession period interval is expected to change from</w:t>
      </w:r>
      <m:oMath>
        <m:r>
          <w:rPr>
            <w:rFonts w:ascii="Cambria Math" w:hAnsi="Cambria Math"/>
          </w:rPr>
          <m:t xml:space="preserve"> [</m:t>
        </m:r>
        <m:sSub>
          <m:sSubPr>
            <m:ctrlPr>
              <w:rPr>
                <w:rFonts w:ascii="Cambria Math" w:hAnsi="Cambria Math"/>
                <w:lang w:val="en-AU" w:eastAsia="zh-CN"/>
              </w:rPr>
            </m:ctrlPr>
          </m:sSubPr>
          <m:e>
            <m:r>
              <w:rPr>
                <w:rFonts w:ascii="Cambria Math" w:hAnsi="Cambria Math"/>
              </w:rPr>
              <m:t>t</m:t>
            </m:r>
          </m:e>
          <m:sub>
            <m:r>
              <w:rPr>
                <w:rFonts w:ascii="Cambria Math" w:hAnsi="Cambria Math"/>
              </w:rPr>
              <m:t xml:space="preserve">cmin, </m:t>
            </m:r>
          </m:sub>
        </m:sSub>
        <m:sSub>
          <m:sSubPr>
            <m:ctrlPr>
              <w:rPr>
                <w:rFonts w:ascii="Cambria Math" w:hAnsi="Cambria Math"/>
                <w:lang w:val="en-AU" w:eastAsia="zh-CN"/>
              </w:rPr>
            </m:ctrlPr>
          </m:sSubPr>
          <m:e>
            <m:r>
              <w:rPr>
                <w:rFonts w:ascii="Cambria Math" w:hAnsi="Cambria Math"/>
              </w:rPr>
              <m:t>t</m:t>
            </m:r>
          </m:e>
          <m:sub>
            <m:r>
              <w:rPr>
                <w:rFonts w:ascii="Cambria Math" w:hAnsi="Cambria Math"/>
              </w:rPr>
              <m:t>cmax</m:t>
            </m:r>
          </m:sub>
        </m:sSub>
        <m:r>
          <w:rPr>
            <w:rFonts w:ascii="Cambria Math" w:hAnsi="Cambria Math"/>
          </w:rPr>
          <m:t>]</m:t>
        </m:r>
      </m:oMath>
      <w:r w:rsidRPr="00082ABC">
        <w:t xml:space="preserve">  to </w:t>
      </w:r>
      <m:oMath>
        <m:r>
          <w:rPr>
            <w:rFonts w:ascii="Cambria Math" w:hAnsi="Cambria Math"/>
          </w:rPr>
          <m:t>[</m:t>
        </m:r>
        <m:sSub>
          <m:sSubPr>
            <m:ctrlPr>
              <w:rPr>
                <w:rFonts w:ascii="Cambria Math" w:hAnsi="Cambria Math"/>
                <w:lang w:val="en-AU" w:eastAsia="zh-CN"/>
              </w:rPr>
            </m:ctrlPr>
          </m:sSubPr>
          <m:e>
            <m:sSup>
              <m:sSupPr>
                <m:ctrlPr>
                  <w:rPr>
                    <w:rFonts w:ascii="Cambria Math" w:hAnsi="Cambria Math"/>
                    <w:lang w:val="en-AU" w:eastAsia="zh-CN"/>
                  </w:rPr>
                </m:ctrlPr>
              </m:sSupPr>
              <m:e>
                <m:r>
                  <w:rPr>
                    <w:rFonts w:ascii="Cambria Math" w:hAnsi="Cambria Math"/>
                  </w:rPr>
                  <m:t>t</m:t>
                </m:r>
              </m:e>
              <m:sup>
                <m:r>
                  <w:rPr>
                    <w:rFonts w:ascii="Cambria Math" w:hAnsi="Cambria Math"/>
                  </w:rPr>
                  <m:t>'</m:t>
                </m:r>
              </m:sup>
            </m:sSup>
          </m:e>
          <m:sub>
            <m:r>
              <w:rPr>
                <w:rFonts w:ascii="Cambria Math" w:hAnsi="Cambria Math"/>
              </w:rPr>
              <m:t xml:space="preserve">cmin,  </m:t>
            </m:r>
          </m:sub>
        </m:sSub>
        <m:sSub>
          <m:sSubPr>
            <m:ctrlPr>
              <w:rPr>
                <w:rFonts w:ascii="Cambria Math" w:hAnsi="Cambria Math"/>
                <w:lang w:val="en-AU" w:eastAsia="zh-CN"/>
              </w:rPr>
            </m:ctrlPr>
          </m:sSubPr>
          <m:e>
            <m:sSup>
              <m:sSupPr>
                <m:ctrlPr>
                  <w:rPr>
                    <w:rFonts w:ascii="Cambria Math" w:hAnsi="Cambria Math"/>
                    <w:lang w:val="en-AU" w:eastAsia="zh-CN"/>
                  </w:rPr>
                </m:ctrlPr>
              </m:sSupPr>
              <m:e>
                <m:r>
                  <w:rPr>
                    <w:rFonts w:ascii="Cambria Math" w:hAnsi="Cambria Math"/>
                  </w:rPr>
                  <m:t>t</m:t>
                </m:r>
              </m:e>
              <m:sup>
                <m:r>
                  <w:rPr>
                    <w:rFonts w:ascii="Cambria Math" w:hAnsi="Cambria Math"/>
                  </w:rPr>
                  <m:t>'</m:t>
                </m:r>
              </m:sup>
            </m:sSup>
          </m:e>
          <m:sub>
            <m:r>
              <w:rPr>
                <w:rFonts w:ascii="Cambria Math" w:hAnsi="Cambria Math"/>
              </w:rPr>
              <m:t>cmax</m:t>
            </m:r>
          </m:sub>
        </m:sSub>
        <m:r>
          <w:rPr>
            <w:rFonts w:ascii="Cambria Math" w:hAnsi="Cambria Math"/>
          </w:rPr>
          <m:t>]</m:t>
        </m:r>
      </m:oMath>
      <w:r w:rsidRPr="00082ABC">
        <w:t xml:space="preserve">, which is a neglected part of many other studies.  </w:t>
      </w:r>
    </w:p>
    <w:p w:rsidR="00082ABC" w:rsidRDefault="00082ABC" w:rsidP="00082ABC">
      <w:pPr>
        <w:rPr>
          <w:lang w:eastAsia="en-US"/>
        </w:rPr>
      </w:pPr>
    </w:p>
    <w:p w:rsidR="00082ABC" w:rsidRPr="00082ABC" w:rsidRDefault="00082ABC" w:rsidP="00082ABC">
      <w:pPr>
        <w:pStyle w:val="SectionHeading"/>
      </w:pPr>
      <w:r w:rsidRPr="00082ABC">
        <w:rPr>
          <w:rFonts w:hint="eastAsia"/>
        </w:rPr>
        <w:t>O</w:t>
      </w:r>
      <w:r w:rsidRPr="00082ABC">
        <w:t>ptimal concession period determination process</w:t>
      </w:r>
    </w:p>
    <w:p w:rsidR="00082ABC" w:rsidRPr="00082ABC" w:rsidRDefault="00082ABC" w:rsidP="00082ABC">
      <w:r w:rsidRPr="00082ABC">
        <w:t xml:space="preserve">In this part, an optimal concession period determination process is proposed, which contains </w:t>
      </w:r>
      <w:r w:rsidRPr="00082ABC">
        <w:rPr>
          <w:rFonts w:hint="eastAsia"/>
        </w:rPr>
        <w:t>the</w:t>
      </w:r>
      <w:r w:rsidRPr="00082ABC">
        <w:t xml:space="preserve"> following steps: First, based on the project background, the </w:t>
      </w:r>
      <w:r w:rsidR="00EA043F">
        <w:t>Geometric Brownian motion (</w:t>
      </w:r>
      <w:r w:rsidRPr="00082ABC">
        <w:t>GBM</w:t>
      </w:r>
      <w:r w:rsidR="00EA043F">
        <w:t>)</w:t>
      </w:r>
      <w:r w:rsidRPr="00082ABC">
        <w:t xml:space="preserve"> paths for uncertain variables in the project are simulated and ENPV for private investors as well as NPV for the governments are calculated. Second, according to the calculation results, the decision range of the concession period is determined to see, when the value of the real options is taken into consideration, to what extent the </w:t>
      </w:r>
      <w:r w:rsidRPr="00082ABC">
        <w:rPr>
          <w:rFonts w:hint="eastAsia"/>
        </w:rPr>
        <w:t>conce</w:t>
      </w:r>
      <w:r w:rsidRPr="00082ABC">
        <w:t>ssion period decision range changes in an ENPV analysis.</w:t>
      </w:r>
      <w:r w:rsidRPr="00082ABC">
        <w:rPr>
          <w:rFonts w:hint="eastAsia"/>
        </w:rPr>
        <w:t xml:space="preserve"> </w:t>
      </w:r>
      <w:r w:rsidRPr="00082ABC">
        <w:t xml:space="preserve">The optimal concession period during which both governments and private investors can achieve a win-win situation is also determined at this stage. Third, the financial risks are calculated to see if they can be controlled for both parties within the </w:t>
      </w:r>
      <w:r w:rsidRPr="00082ABC">
        <w:rPr>
          <w:rFonts w:hint="eastAsia"/>
        </w:rPr>
        <w:t>scope</w:t>
      </w:r>
      <w:r w:rsidRPr="00082ABC">
        <w:t xml:space="preserve"> of the designed concession period. A risk verification process is set up to highlight th</w:t>
      </w:r>
      <w:r w:rsidRPr="00082ABC">
        <w:rPr>
          <w:rFonts w:hint="eastAsia"/>
        </w:rPr>
        <w:t>e</w:t>
      </w:r>
      <w:r w:rsidRPr="00082ABC">
        <w:t xml:space="preserve"> principle that the concession period determination should help to achieve not only fair revenue allocation, but also life-cycle risk control. Finally, a model for transferring the risk between the project participants based on their risk preferences is proposed. </w:t>
      </w:r>
      <w:r w:rsidRPr="00082ABC">
        <w:rPr>
          <w:rFonts w:hint="eastAsia"/>
        </w:rPr>
        <w:t>The</w:t>
      </w:r>
      <w:r w:rsidRPr="00082ABC">
        <w:t xml:space="preserve"> overall flow chart of the optimal concession period determination process can be seen in Figure 2. The models mentioned in the process, i.e. concession period bargaining model, risk verification model, and risk transfer model, are illustrated afterwards.</w:t>
      </w:r>
    </w:p>
    <w:p w:rsidR="00082ABC" w:rsidRDefault="00082ABC" w:rsidP="007D0E00">
      <w:pPr>
        <w:ind w:firstLineChars="250" w:firstLine="600"/>
        <w:rPr>
          <w:lang w:eastAsia="en-US"/>
        </w:rPr>
      </w:pPr>
      <w:r w:rsidRPr="00082ABC">
        <w:rPr>
          <w:noProof/>
        </w:rPr>
        <w:lastRenderedPageBreak/>
        <w:drawing>
          <wp:inline distT="0" distB="0" distL="0" distR="0" wp14:anchorId="55F5B81A" wp14:editId="4EA4AE70">
            <wp:extent cx="4632748" cy="3996017"/>
            <wp:effectExtent l="0" t="0" r="3175"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34192" cy="3997262"/>
                    </a:xfrm>
                    <a:prstGeom prst="rect">
                      <a:avLst/>
                    </a:prstGeom>
                  </pic:spPr>
                </pic:pic>
              </a:graphicData>
            </a:graphic>
          </wp:inline>
        </w:drawing>
      </w:r>
    </w:p>
    <w:p w:rsidR="00082ABC" w:rsidRPr="00082ABC" w:rsidRDefault="00082ABC" w:rsidP="00082ABC">
      <w:pPr>
        <w:pStyle w:val="SectionSub-heading"/>
      </w:pPr>
      <w:r w:rsidRPr="00082ABC">
        <w:t>Concession period decision range and a bargaining model</w:t>
      </w:r>
    </w:p>
    <w:p w:rsidR="00082ABC" w:rsidRPr="00082ABC" w:rsidRDefault="00082ABC" w:rsidP="00082ABC">
      <w:r w:rsidRPr="00082ABC">
        <w:t xml:space="preserve">After ENPV analysis for private investors, the concession period decision range can be produced. According to the principle that private investors expect to gain more profit through the project than the expected minimum return on investment, the lower limit of the concession period </w:t>
      </w:r>
      <m:oMath>
        <m:r>
          <w:rPr>
            <w:rFonts w:ascii="Cambria Math" w:hAnsi="Cambria Math"/>
          </w:rPr>
          <m:t>(</m:t>
        </m:r>
        <m:sSub>
          <m:sSubPr>
            <m:ctrlPr>
              <w:rPr>
                <w:rFonts w:ascii="Cambria Math" w:hAnsi="Cambria Math"/>
                <w:lang w:val="en-AU" w:eastAsia="zh-CN"/>
              </w:rPr>
            </m:ctrlPr>
          </m:sSubPr>
          <m:e>
            <m:sSup>
              <m:sSupPr>
                <m:ctrlPr>
                  <w:rPr>
                    <w:rFonts w:ascii="Cambria Math" w:hAnsi="Cambria Math"/>
                    <w:lang w:val="en-AU" w:eastAsia="zh-CN"/>
                  </w:rPr>
                </m:ctrlPr>
              </m:sSupPr>
              <m:e>
                <m:r>
                  <w:rPr>
                    <w:rFonts w:ascii="Cambria Math" w:hAnsi="Cambria Math"/>
                  </w:rPr>
                  <m:t>t</m:t>
                </m:r>
              </m:e>
              <m:sup>
                <m:r>
                  <w:rPr>
                    <w:rFonts w:ascii="Cambria Math" w:hAnsi="Cambria Math"/>
                  </w:rPr>
                  <m:t>'</m:t>
                </m:r>
              </m:sup>
            </m:sSup>
          </m:e>
          <m:sub>
            <m:r>
              <w:rPr>
                <w:rFonts w:ascii="Cambria Math" w:hAnsi="Cambria Math"/>
              </w:rPr>
              <m:t>cmin</m:t>
            </m:r>
          </m:sub>
        </m:sSub>
        <m:r>
          <w:rPr>
            <w:rFonts w:ascii="Cambria Math" w:hAnsi="Cambria Math"/>
          </w:rPr>
          <m:t>)</m:t>
        </m:r>
      </m:oMath>
      <w:r w:rsidRPr="00082ABC">
        <w:t xml:space="preserve"> is decided by Eq. (</w:t>
      </w:r>
      <w:r w:rsidR="003A7800">
        <w:t>4</w:t>
      </w:r>
      <w:r w:rsidRPr="00082ABC">
        <w:t>):</w:t>
      </w:r>
    </w:p>
    <w:p w:rsidR="00082ABC" w:rsidRPr="00082ABC" w:rsidRDefault="003375FF" w:rsidP="00082ABC">
      <m:oMath>
        <m:sSub>
          <m:sSubPr>
            <m:ctrlPr>
              <w:rPr>
                <w:rFonts w:ascii="Cambria Math" w:hAnsi="Cambria Math"/>
                <w:lang w:val="en-AU" w:eastAsia="zh-CN"/>
              </w:rPr>
            </m:ctrlPr>
          </m:sSubPr>
          <m:e>
            <m:sSup>
              <m:sSupPr>
                <m:ctrlPr>
                  <w:rPr>
                    <w:rFonts w:ascii="Cambria Math" w:hAnsi="Cambria Math"/>
                    <w:lang w:val="en-AU" w:eastAsia="zh-CN"/>
                  </w:rPr>
                </m:ctrlPr>
              </m:sSupPr>
              <m:e>
                <m:r>
                  <w:rPr>
                    <w:rFonts w:ascii="Cambria Math" w:hAnsi="Cambria Math"/>
                  </w:rPr>
                  <m:t>t</m:t>
                </m:r>
              </m:e>
              <m:sup>
                <m:r>
                  <w:rPr>
                    <w:rFonts w:ascii="Cambria Math" w:hAnsi="Cambria Math"/>
                  </w:rPr>
                  <m:t>'</m:t>
                </m:r>
              </m:sup>
            </m:sSup>
          </m:e>
          <m:sub>
            <m:r>
              <w:rPr>
                <w:rFonts w:ascii="Cambria Math" w:hAnsi="Cambria Math"/>
              </w:rPr>
              <m:t>cmin</m:t>
            </m:r>
          </m:sub>
        </m:sSub>
        <m:r>
          <w:rPr>
            <w:rFonts w:ascii="Cambria Math" w:hAnsi="Cambria Math"/>
          </w:rPr>
          <m:t>=</m:t>
        </m:r>
        <m:r>
          <m:rPr>
            <m:sty m:val="p"/>
          </m:rPr>
          <w:rPr>
            <w:rFonts w:ascii="Cambria Math" w:hAnsi="Cambria Math"/>
          </w:rPr>
          <m:t>min⁡</m:t>
        </m:r>
        <m:r>
          <w:rPr>
            <w:rFonts w:ascii="Cambria Math" w:hAnsi="Cambria Math"/>
          </w:rPr>
          <m:t>{</m:t>
        </m:r>
        <m:sSub>
          <m:sSubPr>
            <m:ctrlPr>
              <w:rPr>
                <w:rFonts w:ascii="Cambria Math" w:hAnsi="Cambria Math"/>
                <w:lang w:val="en-AU" w:eastAsia="zh-CN"/>
              </w:rPr>
            </m:ctrlPr>
          </m:sSubPr>
          <m:e>
            <m:sSub>
              <m:sSubPr>
                <m:ctrlPr>
                  <w:rPr>
                    <w:rFonts w:ascii="Cambria Math" w:hAnsi="Cambria Math"/>
                    <w:lang w:val="en-AU" w:eastAsia="zh-CN"/>
                  </w:rPr>
                </m:ctrlPr>
              </m:sSubPr>
              <m:e>
                <m:r>
                  <w:rPr>
                    <w:rFonts w:ascii="Cambria Math" w:hAnsi="Cambria Math"/>
                  </w:rPr>
                  <m:t>t</m:t>
                </m:r>
              </m:e>
              <m:sub>
                <m:r>
                  <w:rPr>
                    <w:rFonts w:ascii="Cambria Math" w:hAnsi="Cambria Math"/>
                  </w:rPr>
                  <m:t>c</m:t>
                </m:r>
              </m:sub>
            </m:sSub>
            <m:r>
              <w:rPr>
                <w:rFonts w:ascii="Cambria Math" w:hAnsi="Cambria Math"/>
              </w:rPr>
              <m:t>:F</m:t>
            </m:r>
          </m:e>
          <m:sub>
            <m:r>
              <w:rPr>
                <w:rFonts w:ascii="Cambria Math" w:hAnsi="Cambria Math"/>
              </w:rPr>
              <m:t>1</m:t>
            </m:r>
          </m:sub>
        </m:sSub>
        <m:d>
          <m:dPr>
            <m:ctrlPr>
              <w:rPr>
                <w:rFonts w:ascii="Cambria Math" w:hAnsi="Cambria Math"/>
                <w:lang w:val="en-AU" w:eastAsia="zh-CN"/>
              </w:rPr>
            </m:ctrlPr>
          </m:dPr>
          <m:e>
            <m:sSub>
              <m:sSubPr>
                <m:ctrlPr>
                  <w:rPr>
                    <w:rFonts w:ascii="Cambria Math" w:hAnsi="Cambria Math"/>
                    <w:lang w:val="en-AU" w:eastAsia="zh-CN"/>
                  </w:rPr>
                </m:ctrlPr>
              </m:sSubPr>
              <m:e>
                <m:r>
                  <w:rPr>
                    <w:rFonts w:ascii="Cambria Math" w:hAnsi="Cambria Math"/>
                  </w:rPr>
                  <m:t>t</m:t>
                </m:r>
              </m:e>
              <m:sub>
                <m:r>
                  <w:rPr>
                    <w:rFonts w:ascii="Cambria Math" w:hAnsi="Cambria Math"/>
                  </w:rPr>
                  <m:t>c</m:t>
                </m:r>
              </m:sub>
            </m:sSub>
          </m:e>
        </m:d>
        <m:r>
          <w:rPr>
            <w:rFonts w:ascii="Cambria Math" w:hAnsi="Cambria Math"/>
          </w:rPr>
          <m:t>=ROc</m:t>
        </m:r>
        <m:d>
          <m:dPr>
            <m:ctrlPr>
              <w:rPr>
                <w:rFonts w:ascii="Cambria Math" w:hAnsi="Cambria Math"/>
                <w:lang w:val="en-AU" w:eastAsia="zh-CN"/>
              </w:rPr>
            </m:ctrlPr>
          </m:dPr>
          <m:e>
            <m:sSub>
              <m:sSubPr>
                <m:ctrlPr>
                  <w:rPr>
                    <w:rFonts w:ascii="Cambria Math" w:hAnsi="Cambria Math"/>
                    <w:lang w:val="en-AU" w:eastAsia="zh-CN"/>
                  </w:rPr>
                </m:ctrlPr>
              </m:sSubPr>
              <m:e>
                <m:r>
                  <w:rPr>
                    <w:rFonts w:ascii="Cambria Math" w:hAnsi="Cambria Math"/>
                  </w:rPr>
                  <m:t>t</m:t>
                </m:r>
              </m:e>
              <m:sub>
                <m:r>
                  <w:rPr>
                    <w:rFonts w:ascii="Cambria Math" w:hAnsi="Cambria Math"/>
                  </w:rPr>
                  <m:t>c</m:t>
                </m:r>
              </m:sub>
            </m:sSub>
          </m:e>
        </m:d>
        <m:r>
          <w:rPr>
            <w:rFonts w:ascii="Cambria Math" w:hAnsi="Cambria Math"/>
          </w:rPr>
          <m:t>+NPVc</m:t>
        </m:r>
        <m:d>
          <m:dPr>
            <m:ctrlPr>
              <w:rPr>
                <w:rFonts w:ascii="Cambria Math" w:hAnsi="Cambria Math"/>
                <w:lang w:val="en-AU" w:eastAsia="zh-CN"/>
              </w:rPr>
            </m:ctrlPr>
          </m:dPr>
          <m:e>
            <m:sSub>
              <m:sSubPr>
                <m:ctrlPr>
                  <w:rPr>
                    <w:rFonts w:ascii="Cambria Math" w:hAnsi="Cambria Math"/>
                    <w:lang w:val="en-AU" w:eastAsia="zh-CN"/>
                  </w:rPr>
                </m:ctrlPr>
              </m:sSubPr>
              <m:e>
                <m:r>
                  <w:rPr>
                    <w:rFonts w:ascii="Cambria Math" w:hAnsi="Cambria Math"/>
                  </w:rPr>
                  <m:t>t</m:t>
                </m:r>
              </m:e>
              <m:sub>
                <m:r>
                  <w:rPr>
                    <w:rFonts w:ascii="Cambria Math" w:hAnsi="Cambria Math"/>
                  </w:rPr>
                  <m:t>c</m:t>
                </m:r>
              </m:sub>
            </m:sSub>
          </m:e>
        </m:d>
        <m:r>
          <w:rPr>
            <w:rFonts w:ascii="Cambria Math" w:hAnsi="Cambria Math"/>
          </w:rPr>
          <m:t>-</m:t>
        </m:r>
        <m:d>
          <m:dPr>
            <m:ctrlPr>
              <w:rPr>
                <w:rFonts w:ascii="Cambria Math" w:hAnsi="Cambria Math"/>
                <w:lang w:val="en-AU" w:eastAsia="zh-CN"/>
              </w:rPr>
            </m:ctrlPr>
          </m:dPr>
          <m:e>
            <m:sSub>
              <m:sSubPr>
                <m:ctrlPr>
                  <w:rPr>
                    <w:rFonts w:ascii="Cambria Math" w:hAnsi="Cambria Math"/>
                    <w:lang w:val="en-AU" w:eastAsia="zh-CN"/>
                  </w:rPr>
                </m:ctrlPr>
              </m:sSubPr>
              <m:e>
                <m:r>
                  <w:rPr>
                    <w:rFonts w:ascii="Cambria Math" w:hAnsi="Cambria Math"/>
                  </w:rPr>
                  <m:t>I</m:t>
                </m:r>
              </m:e>
              <m:sub>
                <m:r>
                  <w:rPr>
                    <w:rFonts w:ascii="Cambria Math" w:hAnsi="Cambria Math"/>
                  </w:rPr>
                  <m:t>c</m:t>
                </m:r>
              </m:sub>
            </m:sSub>
            <m:r>
              <w:rPr>
                <w:rFonts w:ascii="Cambria Math" w:hAnsi="Cambria Math"/>
              </w:rPr>
              <m:t>+</m:t>
            </m:r>
            <m:sSub>
              <m:sSubPr>
                <m:ctrlPr>
                  <w:rPr>
                    <w:rFonts w:ascii="Cambria Math" w:hAnsi="Cambria Math"/>
                    <w:lang w:val="en-AU" w:eastAsia="zh-CN"/>
                  </w:rPr>
                </m:ctrlPr>
              </m:sSubPr>
              <m:e>
                <m:r>
                  <w:rPr>
                    <w:rFonts w:ascii="Cambria Math" w:hAnsi="Cambria Math"/>
                  </w:rPr>
                  <m:t>I</m:t>
                </m:r>
              </m:e>
              <m:sub>
                <m:r>
                  <w:rPr>
                    <w:rFonts w:ascii="Cambria Math" w:hAnsi="Cambria Math"/>
                  </w:rPr>
                  <m:t>i</m:t>
                </m:r>
              </m:sub>
            </m:sSub>
          </m:e>
        </m:d>
        <m:r>
          <w:rPr>
            <w:rFonts w:ascii="Cambria Math" w:hAnsi="Cambria Math"/>
          </w:rPr>
          <m:t>×</m:t>
        </m:r>
        <m:sSub>
          <m:sSubPr>
            <m:ctrlPr>
              <w:rPr>
                <w:rFonts w:ascii="Cambria Math" w:hAnsi="Cambria Math"/>
                <w:lang w:val="en-AU" w:eastAsia="zh-CN"/>
              </w:rPr>
            </m:ctrlPr>
          </m:sSubPr>
          <m:e>
            <m:r>
              <w:rPr>
                <w:rFonts w:ascii="Cambria Math" w:hAnsi="Cambria Math"/>
              </w:rPr>
              <m:t>ROI</m:t>
            </m:r>
          </m:e>
          <m:sub>
            <m:r>
              <w:rPr>
                <w:rFonts w:ascii="Cambria Math" w:hAnsi="Cambria Math"/>
              </w:rPr>
              <m:t>min</m:t>
            </m:r>
          </m:sub>
        </m:sSub>
        <m:r>
          <w:rPr>
            <w:rFonts w:ascii="Cambria Math" w:hAnsi="Cambria Math"/>
          </w:rPr>
          <m:t xml:space="preserve">≥0} </m:t>
        </m:r>
      </m:oMath>
      <w:r w:rsidR="00082ABC" w:rsidRPr="00082ABC">
        <w:rPr>
          <w:rFonts w:hint="eastAsia"/>
        </w:rPr>
        <w:t>(</w:t>
      </w:r>
      <w:r w:rsidR="003A7800">
        <w:t>4</w:t>
      </w:r>
      <w:r w:rsidR="00082ABC" w:rsidRPr="00082ABC">
        <w:t>)</w:t>
      </w:r>
    </w:p>
    <w:p w:rsidR="00082ABC" w:rsidRPr="00082ABC" w:rsidRDefault="00082ABC" w:rsidP="00082ABC">
      <w:r w:rsidRPr="00082ABC">
        <w:t xml:space="preserve">where </w:t>
      </w:r>
      <m:oMath>
        <m:sSub>
          <m:sSubPr>
            <m:ctrlPr>
              <w:rPr>
                <w:rFonts w:ascii="Cambria Math" w:hAnsi="Cambria Math"/>
                <w:lang w:val="en-AU" w:eastAsia="zh-CN"/>
              </w:rPr>
            </m:ctrlPr>
          </m:sSubPr>
          <m:e>
            <m:r>
              <w:rPr>
                <w:rFonts w:ascii="Cambria Math" w:hAnsi="Cambria Math"/>
              </w:rPr>
              <m:t>F</m:t>
            </m:r>
          </m:e>
          <m:sub>
            <m:r>
              <w:rPr>
                <w:rFonts w:ascii="Cambria Math" w:hAnsi="Cambria Math"/>
              </w:rPr>
              <m:t>1</m:t>
            </m:r>
          </m:sub>
        </m:sSub>
        <m:d>
          <m:dPr>
            <m:ctrlPr>
              <w:rPr>
                <w:rFonts w:ascii="Cambria Math" w:hAnsi="Cambria Math"/>
                <w:lang w:val="en-AU" w:eastAsia="zh-CN"/>
              </w:rPr>
            </m:ctrlPr>
          </m:dPr>
          <m:e>
            <m:sSub>
              <m:sSubPr>
                <m:ctrlPr>
                  <w:rPr>
                    <w:rFonts w:ascii="Cambria Math" w:hAnsi="Cambria Math"/>
                    <w:lang w:val="en-AU" w:eastAsia="zh-CN"/>
                  </w:rPr>
                </m:ctrlPr>
              </m:sSubPr>
              <m:e>
                <m:r>
                  <w:rPr>
                    <w:rFonts w:ascii="Cambria Math" w:hAnsi="Cambria Math"/>
                  </w:rPr>
                  <m:t>t</m:t>
                </m:r>
              </m:e>
              <m:sub>
                <m:r>
                  <w:rPr>
                    <w:rFonts w:ascii="Cambria Math" w:hAnsi="Cambria Math"/>
                  </w:rPr>
                  <m:t>c</m:t>
                </m:r>
              </m:sub>
            </m:sSub>
          </m:e>
        </m:d>
      </m:oMath>
      <w:r w:rsidRPr="00082ABC">
        <w:t xml:space="preserve"> is the function of the profit premium for private investors.</w:t>
      </w:r>
      <m:oMath>
        <m:r>
          <w:rPr>
            <w:rFonts w:ascii="Cambria Math" w:hAnsi="Cambria Math"/>
          </w:rPr>
          <m:t xml:space="preserve"> </m:t>
        </m:r>
        <w:bookmarkStart w:id="0" w:name="OLE_LINK11"/>
        <w:bookmarkStart w:id="1" w:name="OLE_LINK12"/>
        <m:sSub>
          <m:sSubPr>
            <m:ctrlPr>
              <w:rPr>
                <w:rFonts w:ascii="Cambria Math" w:hAnsi="Cambria Math"/>
                <w:lang w:val="en-AU" w:eastAsia="zh-CN"/>
              </w:rPr>
            </m:ctrlPr>
          </m:sSubPr>
          <m:e>
            <m:r>
              <w:rPr>
                <w:rFonts w:ascii="Cambria Math" w:hAnsi="Cambria Math"/>
              </w:rPr>
              <m:t>RO</m:t>
            </m:r>
          </m:e>
          <m:sub>
            <m:r>
              <w:rPr>
                <w:rFonts w:ascii="Cambria Math" w:hAnsi="Cambria Math"/>
              </w:rPr>
              <m:t>c</m:t>
            </m:r>
          </m:sub>
        </m:sSub>
        <m:d>
          <m:dPr>
            <m:ctrlPr>
              <w:rPr>
                <w:rFonts w:ascii="Cambria Math" w:hAnsi="Cambria Math"/>
                <w:lang w:val="en-AU" w:eastAsia="zh-CN"/>
              </w:rPr>
            </m:ctrlPr>
          </m:dPr>
          <m:e>
            <m:sSub>
              <m:sSubPr>
                <m:ctrlPr>
                  <w:rPr>
                    <w:rFonts w:ascii="Cambria Math" w:hAnsi="Cambria Math"/>
                    <w:lang w:val="en-AU" w:eastAsia="zh-CN"/>
                  </w:rPr>
                </m:ctrlPr>
              </m:sSubPr>
              <m:e>
                <m:r>
                  <w:rPr>
                    <w:rFonts w:ascii="Cambria Math" w:hAnsi="Cambria Math"/>
                  </w:rPr>
                  <m:t>t</m:t>
                </m:r>
              </m:e>
              <m:sub>
                <m:r>
                  <w:rPr>
                    <w:rFonts w:ascii="Cambria Math" w:hAnsi="Cambria Math"/>
                  </w:rPr>
                  <m:t>c</m:t>
                </m:r>
              </m:sub>
            </m:sSub>
          </m:e>
        </m:d>
      </m:oMath>
      <w:r w:rsidRPr="00082ABC">
        <w:t xml:space="preserve"> is the value of real option</w:t>
      </w:r>
      <w:r w:rsidRPr="00082ABC">
        <w:rPr>
          <w:rFonts w:hint="eastAsia"/>
        </w:rPr>
        <w:t>s</w:t>
      </w:r>
      <w:r w:rsidRPr="00082ABC">
        <w:t xml:space="preserve"> that private investors hold within the period </w:t>
      </w:r>
      <m:oMath>
        <m:sSub>
          <m:sSubPr>
            <m:ctrlPr>
              <w:rPr>
                <w:rFonts w:ascii="Cambria Math" w:hAnsi="Cambria Math"/>
                <w:lang w:val="en-AU" w:eastAsia="zh-CN"/>
              </w:rPr>
            </m:ctrlPr>
          </m:sSubPr>
          <m:e>
            <m:r>
              <w:rPr>
                <w:rFonts w:ascii="Cambria Math" w:hAnsi="Cambria Math"/>
              </w:rPr>
              <m:t>t</m:t>
            </m:r>
          </m:e>
          <m:sub>
            <m:r>
              <w:rPr>
                <w:rFonts w:ascii="Cambria Math" w:hAnsi="Cambria Math"/>
              </w:rPr>
              <m:t>c</m:t>
            </m:r>
          </m:sub>
        </m:sSub>
      </m:oMath>
      <w:r w:rsidRPr="00082ABC">
        <w:t xml:space="preserve">, which can be derived from the binomial lattice model or the Black-Scholes pricing model. </w:t>
      </w:r>
      <m:oMath>
        <m:r>
          <w:rPr>
            <w:rFonts w:ascii="Cambria Math" w:hAnsi="Cambria Math"/>
          </w:rPr>
          <m:t>NPVc</m:t>
        </m:r>
        <m:d>
          <m:dPr>
            <m:ctrlPr>
              <w:rPr>
                <w:rFonts w:ascii="Cambria Math" w:hAnsi="Cambria Math"/>
                <w:lang w:val="en-AU" w:eastAsia="zh-CN"/>
              </w:rPr>
            </m:ctrlPr>
          </m:dPr>
          <m:e>
            <m:sSub>
              <m:sSubPr>
                <m:ctrlPr>
                  <w:rPr>
                    <w:rFonts w:ascii="Cambria Math" w:hAnsi="Cambria Math"/>
                    <w:lang w:val="en-AU" w:eastAsia="zh-CN"/>
                  </w:rPr>
                </m:ctrlPr>
              </m:sSubPr>
              <m:e>
                <m:r>
                  <w:rPr>
                    <w:rFonts w:ascii="Cambria Math" w:hAnsi="Cambria Math"/>
                  </w:rPr>
                  <m:t>t</m:t>
                </m:r>
              </m:e>
              <m:sub>
                <m:r>
                  <w:rPr>
                    <w:rFonts w:ascii="Cambria Math" w:hAnsi="Cambria Math"/>
                  </w:rPr>
                  <m:t>c</m:t>
                </m:r>
              </m:sub>
            </m:sSub>
          </m:e>
        </m:d>
      </m:oMath>
      <w:r w:rsidRPr="00082ABC">
        <w:t xml:space="preserve"> is the NPV value for private investors within the period </w:t>
      </w:r>
      <m:oMath>
        <m:sSub>
          <m:sSubPr>
            <m:ctrlPr>
              <w:rPr>
                <w:rFonts w:ascii="Cambria Math" w:hAnsi="Cambria Math"/>
                <w:lang w:val="en-AU" w:eastAsia="zh-CN"/>
              </w:rPr>
            </m:ctrlPr>
          </m:sSubPr>
          <m:e>
            <m:r>
              <w:rPr>
                <w:rFonts w:ascii="Cambria Math" w:hAnsi="Cambria Math"/>
              </w:rPr>
              <m:t>t</m:t>
            </m:r>
          </m:e>
          <m:sub>
            <m:r>
              <w:rPr>
                <w:rFonts w:ascii="Cambria Math" w:hAnsi="Cambria Math"/>
              </w:rPr>
              <m:t>c</m:t>
            </m:r>
          </m:sub>
        </m:sSub>
      </m:oMath>
      <w:r w:rsidRPr="00082ABC">
        <w:t>.</w:t>
      </w:r>
      <w:bookmarkEnd w:id="0"/>
      <w:bookmarkEnd w:id="1"/>
      <w:r w:rsidRPr="00082ABC">
        <w:t xml:space="preserve"> </w:t>
      </w:r>
      <m:oMath>
        <m:sSub>
          <m:sSubPr>
            <m:ctrlPr>
              <w:rPr>
                <w:rFonts w:ascii="Cambria Math" w:hAnsi="Cambria Math"/>
                <w:lang w:val="en-AU" w:eastAsia="zh-CN"/>
              </w:rPr>
            </m:ctrlPr>
          </m:sSubPr>
          <m:e>
            <m:sSup>
              <m:sSupPr>
                <m:ctrlPr>
                  <w:rPr>
                    <w:rFonts w:ascii="Cambria Math" w:hAnsi="Cambria Math"/>
                    <w:lang w:val="en-AU" w:eastAsia="zh-CN"/>
                  </w:rPr>
                </m:ctrlPr>
              </m:sSupPr>
              <m:e>
                <m:r>
                  <w:rPr>
                    <w:rFonts w:ascii="Cambria Math" w:hAnsi="Cambria Math"/>
                  </w:rPr>
                  <m:t>t</m:t>
                </m:r>
              </m:e>
              <m:sup>
                <m:r>
                  <w:rPr>
                    <w:rFonts w:ascii="Cambria Math" w:hAnsi="Cambria Math"/>
                  </w:rPr>
                  <m:t>'</m:t>
                </m:r>
              </m:sup>
            </m:sSup>
          </m:e>
          <m:sub>
            <m:r>
              <w:rPr>
                <w:rFonts w:ascii="Cambria Math" w:hAnsi="Cambria Math"/>
              </w:rPr>
              <m:t>cmin</m:t>
            </m:r>
          </m:sub>
        </m:sSub>
      </m:oMath>
      <w:r w:rsidRPr="00082ABC">
        <w:rPr>
          <w:rFonts w:hint="eastAsia"/>
        </w:rPr>
        <w:t xml:space="preserve"> </w:t>
      </w:r>
      <w:r w:rsidRPr="00082ABC">
        <w:t xml:space="preserve">equals the minimum value of </w:t>
      </w:r>
      <m:oMath>
        <m:sSub>
          <m:sSubPr>
            <m:ctrlPr>
              <w:rPr>
                <w:rFonts w:ascii="Cambria Math" w:hAnsi="Cambria Math"/>
                <w:lang w:val="en-AU" w:eastAsia="zh-CN"/>
              </w:rPr>
            </m:ctrlPr>
          </m:sSubPr>
          <m:e>
            <m:r>
              <w:rPr>
                <w:rFonts w:ascii="Cambria Math" w:hAnsi="Cambria Math"/>
              </w:rPr>
              <m:t>t</m:t>
            </m:r>
          </m:e>
          <m:sub>
            <m:r>
              <w:rPr>
                <w:rFonts w:ascii="Cambria Math" w:hAnsi="Cambria Math"/>
              </w:rPr>
              <m:t>c</m:t>
            </m:r>
          </m:sub>
        </m:sSub>
      </m:oMath>
      <w:r w:rsidRPr="00082ABC">
        <w:t xml:space="preserve"> obtained from </w:t>
      </w:r>
      <m:oMath>
        <m:sSub>
          <m:sSubPr>
            <m:ctrlPr>
              <w:rPr>
                <w:rFonts w:ascii="Cambria Math" w:hAnsi="Cambria Math"/>
                <w:lang w:val="en-AU" w:eastAsia="zh-CN"/>
              </w:rPr>
            </m:ctrlPr>
          </m:sSubPr>
          <m:e>
            <m:r>
              <w:rPr>
                <w:rFonts w:ascii="Cambria Math" w:hAnsi="Cambria Math"/>
              </w:rPr>
              <m:t>F</m:t>
            </m:r>
          </m:e>
          <m:sub>
            <m:r>
              <w:rPr>
                <w:rFonts w:ascii="Cambria Math" w:hAnsi="Cambria Math"/>
              </w:rPr>
              <m:t>1</m:t>
            </m:r>
          </m:sub>
        </m:sSub>
        <m:d>
          <m:dPr>
            <m:ctrlPr>
              <w:rPr>
                <w:rFonts w:ascii="Cambria Math" w:hAnsi="Cambria Math"/>
                <w:lang w:val="en-AU" w:eastAsia="zh-CN"/>
              </w:rPr>
            </m:ctrlPr>
          </m:dPr>
          <m:e>
            <m:sSub>
              <m:sSubPr>
                <m:ctrlPr>
                  <w:rPr>
                    <w:rFonts w:ascii="Cambria Math" w:hAnsi="Cambria Math"/>
                    <w:lang w:val="en-AU" w:eastAsia="zh-CN"/>
                  </w:rPr>
                </m:ctrlPr>
              </m:sSubPr>
              <m:e>
                <m:r>
                  <w:rPr>
                    <w:rFonts w:ascii="Cambria Math" w:hAnsi="Cambria Math"/>
                  </w:rPr>
                  <m:t>t</m:t>
                </m:r>
              </m:e>
              <m:sub>
                <m:r>
                  <w:rPr>
                    <w:rFonts w:ascii="Cambria Math" w:hAnsi="Cambria Math"/>
                  </w:rPr>
                  <m:t>c</m:t>
                </m:r>
              </m:sub>
            </m:sSub>
          </m:e>
        </m:d>
      </m:oMath>
      <w:r w:rsidRPr="00082ABC">
        <w:t>. No moment before this threshold will be accepted by private investors, since they cannot receive the expected minimum return on investment within that period.</w:t>
      </w:r>
    </w:p>
    <w:p w:rsidR="00082ABC" w:rsidRPr="00082ABC" w:rsidRDefault="00082ABC" w:rsidP="00082ABC"/>
    <w:p w:rsidR="00082ABC" w:rsidRPr="00082ABC" w:rsidRDefault="00082ABC" w:rsidP="00082ABC">
      <w:r w:rsidRPr="00082ABC">
        <w:t xml:space="preserve">The upper limit of </w:t>
      </w:r>
      <w:r w:rsidRPr="00082ABC">
        <w:rPr>
          <w:rFonts w:hint="eastAsia"/>
        </w:rPr>
        <w:t>the</w:t>
      </w:r>
      <w:r w:rsidRPr="00082ABC">
        <w:t xml:space="preserve"> concession period (</w:t>
      </w:r>
      <m:oMath>
        <m:sSub>
          <m:sSubPr>
            <m:ctrlPr>
              <w:rPr>
                <w:rFonts w:ascii="Cambria Math" w:hAnsi="Cambria Math"/>
                <w:lang w:val="en-AU" w:eastAsia="zh-CN"/>
              </w:rPr>
            </m:ctrlPr>
          </m:sSubPr>
          <m:e>
            <m:sSup>
              <m:sSupPr>
                <m:ctrlPr>
                  <w:rPr>
                    <w:rFonts w:ascii="Cambria Math" w:hAnsi="Cambria Math"/>
                    <w:lang w:val="en-AU" w:eastAsia="zh-CN"/>
                  </w:rPr>
                </m:ctrlPr>
              </m:sSupPr>
              <m:e>
                <m:r>
                  <w:rPr>
                    <w:rFonts w:ascii="Cambria Math" w:hAnsi="Cambria Math"/>
                  </w:rPr>
                  <m:t>t</m:t>
                </m:r>
              </m:e>
              <m:sup>
                <m:r>
                  <w:rPr>
                    <w:rFonts w:ascii="Cambria Math" w:hAnsi="Cambria Math"/>
                  </w:rPr>
                  <m:t>'</m:t>
                </m:r>
              </m:sup>
            </m:sSup>
          </m:e>
          <m:sub>
            <m:r>
              <w:rPr>
                <w:rFonts w:ascii="Cambria Math" w:hAnsi="Cambria Math"/>
              </w:rPr>
              <m:t>cmax</m:t>
            </m:r>
          </m:sub>
        </m:sSub>
      </m:oMath>
      <w:r w:rsidRPr="00082ABC">
        <w:t>) is calculated by Eq. (</w:t>
      </w:r>
      <w:r w:rsidR="003A7800">
        <w:t>5</w:t>
      </w:r>
      <w:r w:rsidRPr="00082ABC">
        <w:t xml:space="preserve">): </w:t>
      </w:r>
    </w:p>
    <w:p w:rsidR="00082ABC" w:rsidRPr="00082ABC" w:rsidRDefault="003375FF" w:rsidP="00082ABC">
      <m:oMath>
        <m:sSub>
          <m:sSubPr>
            <m:ctrlPr>
              <w:rPr>
                <w:rFonts w:ascii="Cambria Math" w:hAnsi="Cambria Math"/>
                <w:lang w:val="en-AU" w:eastAsia="zh-CN"/>
              </w:rPr>
            </m:ctrlPr>
          </m:sSubPr>
          <m:e>
            <m:sSup>
              <m:sSupPr>
                <m:ctrlPr>
                  <w:rPr>
                    <w:rFonts w:ascii="Cambria Math" w:hAnsi="Cambria Math"/>
                    <w:lang w:val="en-AU" w:eastAsia="zh-CN"/>
                  </w:rPr>
                </m:ctrlPr>
              </m:sSupPr>
              <m:e>
                <m:r>
                  <w:rPr>
                    <w:rFonts w:ascii="Cambria Math" w:hAnsi="Cambria Math"/>
                  </w:rPr>
                  <m:t>t</m:t>
                </m:r>
              </m:e>
              <m:sup>
                <m:r>
                  <w:rPr>
                    <w:rFonts w:ascii="Cambria Math" w:hAnsi="Cambria Math"/>
                  </w:rPr>
                  <m:t>'</m:t>
                </m:r>
              </m:sup>
            </m:sSup>
          </m:e>
          <m:sub>
            <m:r>
              <w:rPr>
                <w:rFonts w:ascii="Cambria Math" w:hAnsi="Cambria Math"/>
              </w:rPr>
              <m:t>cmax</m:t>
            </m:r>
          </m:sub>
        </m:sSub>
        <m:r>
          <w:rPr>
            <w:rFonts w:ascii="Cambria Math" w:hAnsi="Cambria Math"/>
          </w:rPr>
          <m:t>=</m:t>
        </m:r>
        <m:r>
          <m:rPr>
            <m:sty m:val="p"/>
          </m:rPr>
          <w:rPr>
            <w:rFonts w:ascii="Cambria Math" w:hAnsi="Cambria Math"/>
          </w:rPr>
          <m:t>max⁡</m:t>
        </m:r>
        <m:r>
          <w:rPr>
            <w:rFonts w:ascii="Cambria Math" w:hAnsi="Cambria Math"/>
          </w:rPr>
          <m:t>{</m:t>
        </m:r>
        <m:sSub>
          <m:sSubPr>
            <m:ctrlPr>
              <w:rPr>
                <w:rFonts w:ascii="Cambria Math" w:hAnsi="Cambria Math"/>
                <w:lang w:val="en-AU" w:eastAsia="zh-CN"/>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lang w:val="en-AU" w:eastAsia="zh-CN"/>
              </w:rPr>
            </m:ctrlPr>
          </m:sSubPr>
          <m:e>
            <m:r>
              <w:rPr>
                <w:rFonts w:ascii="Cambria Math" w:hAnsi="Cambria Math"/>
              </w:rPr>
              <m:t>F</m:t>
            </m:r>
          </m:e>
          <m:sub>
            <m:r>
              <w:rPr>
                <w:rFonts w:ascii="Cambria Math" w:hAnsi="Cambria Math"/>
              </w:rPr>
              <m:t>2</m:t>
            </m:r>
          </m:sub>
        </m:sSub>
        <m:d>
          <m:dPr>
            <m:ctrlPr>
              <w:rPr>
                <w:rFonts w:ascii="Cambria Math" w:hAnsi="Cambria Math"/>
                <w:lang w:val="en-AU" w:eastAsia="zh-CN"/>
              </w:rPr>
            </m:ctrlPr>
          </m:dPr>
          <m:e>
            <m:sSub>
              <m:sSubPr>
                <m:ctrlPr>
                  <w:rPr>
                    <w:rFonts w:ascii="Cambria Math" w:hAnsi="Cambria Math"/>
                    <w:lang w:val="en-AU" w:eastAsia="zh-CN"/>
                  </w:rPr>
                </m:ctrlPr>
              </m:sSubPr>
              <m:e>
                <m:r>
                  <w:rPr>
                    <w:rFonts w:ascii="Cambria Math" w:hAnsi="Cambria Math"/>
                  </w:rPr>
                  <m:t>t</m:t>
                </m:r>
              </m:e>
              <m:sub>
                <m:r>
                  <w:rPr>
                    <w:rFonts w:ascii="Cambria Math" w:hAnsi="Cambria Math"/>
                  </w:rPr>
                  <m:t>c</m:t>
                </m:r>
              </m:sub>
            </m:sSub>
          </m:e>
        </m:d>
        <m:r>
          <w:rPr>
            <w:rFonts w:ascii="Cambria Math" w:hAnsi="Cambria Math"/>
          </w:rPr>
          <m:t>=ROc</m:t>
        </m:r>
        <m:d>
          <m:dPr>
            <m:ctrlPr>
              <w:rPr>
                <w:rFonts w:ascii="Cambria Math" w:hAnsi="Cambria Math"/>
                <w:lang w:val="en-AU" w:eastAsia="zh-CN"/>
              </w:rPr>
            </m:ctrlPr>
          </m:dPr>
          <m:e>
            <m:sSub>
              <m:sSubPr>
                <m:ctrlPr>
                  <w:rPr>
                    <w:rFonts w:ascii="Cambria Math" w:hAnsi="Cambria Math"/>
                    <w:lang w:val="en-AU" w:eastAsia="zh-CN"/>
                  </w:rPr>
                </m:ctrlPr>
              </m:sSubPr>
              <m:e>
                <m:r>
                  <w:rPr>
                    <w:rFonts w:ascii="Cambria Math" w:hAnsi="Cambria Math"/>
                  </w:rPr>
                  <m:t>t</m:t>
                </m:r>
              </m:e>
              <m:sub>
                <m:r>
                  <w:rPr>
                    <w:rFonts w:ascii="Cambria Math" w:hAnsi="Cambria Math"/>
                  </w:rPr>
                  <m:t>c</m:t>
                </m:r>
              </m:sub>
            </m:sSub>
          </m:e>
        </m:d>
        <m:r>
          <w:rPr>
            <w:rFonts w:ascii="Cambria Math" w:hAnsi="Cambria Math"/>
          </w:rPr>
          <m:t>+NPVc</m:t>
        </m:r>
        <m:d>
          <m:dPr>
            <m:ctrlPr>
              <w:rPr>
                <w:rFonts w:ascii="Cambria Math" w:hAnsi="Cambria Math"/>
                <w:lang w:val="en-AU" w:eastAsia="zh-CN"/>
              </w:rPr>
            </m:ctrlPr>
          </m:dPr>
          <m:e>
            <m:sSub>
              <m:sSubPr>
                <m:ctrlPr>
                  <w:rPr>
                    <w:rFonts w:ascii="Cambria Math" w:hAnsi="Cambria Math"/>
                    <w:lang w:val="en-AU" w:eastAsia="zh-CN"/>
                  </w:rPr>
                </m:ctrlPr>
              </m:sSubPr>
              <m:e>
                <m:r>
                  <w:rPr>
                    <w:rFonts w:ascii="Cambria Math" w:hAnsi="Cambria Math"/>
                  </w:rPr>
                  <m:t>t</m:t>
                </m:r>
              </m:e>
              <m:sub>
                <m:r>
                  <w:rPr>
                    <w:rFonts w:ascii="Cambria Math" w:hAnsi="Cambria Math"/>
                  </w:rPr>
                  <m:t>c</m:t>
                </m:r>
              </m:sub>
            </m:sSub>
          </m:e>
        </m:d>
        <m:r>
          <w:rPr>
            <w:rFonts w:ascii="Cambria Math" w:hAnsi="Cambria Math"/>
          </w:rPr>
          <m:t>-</m:t>
        </m:r>
        <m:d>
          <m:dPr>
            <m:ctrlPr>
              <w:rPr>
                <w:rFonts w:ascii="Cambria Math" w:hAnsi="Cambria Math"/>
                <w:lang w:val="en-AU" w:eastAsia="zh-CN"/>
              </w:rPr>
            </m:ctrlPr>
          </m:dPr>
          <m:e>
            <m:sSub>
              <m:sSubPr>
                <m:ctrlPr>
                  <w:rPr>
                    <w:rFonts w:ascii="Cambria Math" w:hAnsi="Cambria Math"/>
                    <w:lang w:val="en-AU" w:eastAsia="zh-CN"/>
                  </w:rPr>
                </m:ctrlPr>
              </m:sSubPr>
              <m:e>
                <m:r>
                  <w:rPr>
                    <w:rFonts w:ascii="Cambria Math" w:hAnsi="Cambria Math"/>
                  </w:rPr>
                  <m:t>I</m:t>
                </m:r>
              </m:e>
              <m:sub>
                <m:r>
                  <w:rPr>
                    <w:rFonts w:ascii="Cambria Math" w:hAnsi="Cambria Math"/>
                  </w:rPr>
                  <m:t>c</m:t>
                </m:r>
              </m:sub>
            </m:sSub>
            <m:r>
              <w:rPr>
                <w:rFonts w:ascii="Cambria Math" w:hAnsi="Cambria Math"/>
              </w:rPr>
              <m:t>+</m:t>
            </m:r>
            <m:sSub>
              <m:sSubPr>
                <m:ctrlPr>
                  <w:rPr>
                    <w:rFonts w:ascii="Cambria Math" w:hAnsi="Cambria Math"/>
                    <w:lang w:val="en-AU" w:eastAsia="zh-CN"/>
                  </w:rPr>
                </m:ctrlPr>
              </m:sSubPr>
              <m:e>
                <m:r>
                  <w:rPr>
                    <w:rFonts w:ascii="Cambria Math" w:hAnsi="Cambria Math"/>
                  </w:rPr>
                  <m:t>I</m:t>
                </m:r>
              </m:e>
              <m:sub>
                <m:r>
                  <w:rPr>
                    <w:rFonts w:ascii="Cambria Math" w:hAnsi="Cambria Math"/>
                  </w:rPr>
                  <m:t>i</m:t>
                </m:r>
              </m:sub>
            </m:sSub>
          </m:e>
        </m:d>
        <m:r>
          <w:rPr>
            <w:rFonts w:ascii="Cambria Math" w:hAnsi="Cambria Math"/>
          </w:rPr>
          <m:t>×</m:t>
        </m:r>
        <m:sSub>
          <m:sSubPr>
            <m:ctrlPr>
              <w:rPr>
                <w:rFonts w:ascii="Cambria Math" w:hAnsi="Cambria Math"/>
                <w:lang w:val="en-AU" w:eastAsia="zh-CN"/>
              </w:rPr>
            </m:ctrlPr>
          </m:sSubPr>
          <m:e>
            <m:r>
              <w:rPr>
                <w:rFonts w:ascii="Cambria Math" w:hAnsi="Cambria Math"/>
              </w:rPr>
              <m:t>ROI</m:t>
            </m:r>
          </m:e>
          <m:sub>
            <m:r>
              <w:rPr>
                <w:rFonts w:ascii="Cambria Math" w:hAnsi="Cambria Math"/>
              </w:rPr>
              <m:t>max</m:t>
            </m:r>
          </m:sub>
        </m:sSub>
        <m:r>
          <w:rPr>
            <w:rFonts w:ascii="Cambria Math" w:hAnsi="Cambria Math"/>
          </w:rPr>
          <m:t>≤0}</m:t>
        </m:r>
      </m:oMath>
      <w:r w:rsidR="00082ABC" w:rsidRPr="00082ABC">
        <w:t xml:space="preserve"> (</w:t>
      </w:r>
      <w:r w:rsidR="003A7800">
        <w:t>5</w:t>
      </w:r>
      <w:r w:rsidR="00082ABC" w:rsidRPr="00082ABC">
        <w:t>)</w:t>
      </w:r>
    </w:p>
    <w:p w:rsidR="00082ABC" w:rsidRPr="00082ABC" w:rsidRDefault="00082ABC" w:rsidP="00082ABC">
      <w:r w:rsidRPr="00082ABC">
        <w:t xml:space="preserve">where </w:t>
      </w:r>
      <m:oMath>
        <m:sSub>
          <m:sSubPr>
            <m:ctrlPr>
              <w:rPr>
                <w:rFonts w:ascii="Cambria Math" w:hAnsi="Cambria Math"/>
                <w:lang w:val="en-AU" w:eastAsia="zh-CN"/>
              </w:rPr>
            </m:ctrlPr>
          </m:sSubPr>
          <m:e>
            <m:r>
              <w:rPr>
                <w:rFonts w:ascii="Cambria Math" w:hAnsi="Cambria Math"/>
              </w:rPr>
              <m:t>F</m:t>
            </m:r>
          </m:e>
          <m:sub>
            <m:r>
              <w:rPr>
                <w:rFonts w:ascii="Cambria Math" w:hAnsi="Cambria Math"/>
              </w:rPr>
              <m:t>2</m:t>
            </m:r>
          </m:sub>
        </m:sSub>
        <m:d>
          <m:dPr>
            <m:ctrlPr>
              <w:rPr>
                <w:rFonts w:ascii="Cambria Math" w:hAnsi="Cambria Math"/>
                <w:lang w:val="en-AU" w:eastAsia="zh-CN"/>
              </w:rPr>
            </m:ctrlPr>
          </m:dPr>
          <m:e>
            <m:sSub>
              <m:sSubPr>
                <m:ctrlPr>
                  <w:rPr>
                    <w:rFonts w:ascii="Cambria Math" w:hAnsi="Cambria Math"/>
                    <w:lang w:val="en-AU" w:eastAsia="zh-CN"/>
                  </w:rPr>
                </m:ctrlPr>
              </m:sSubPr>
              <m:e>
                <m:r>
                  <w:rPr>
                    <w:rFonts w:ascii="Cambria Math" w:hAnsi="Cambria Math"/>
                  </w:rPr>
                  <m:t>t</m:t>
                </m:r>
              </m:e>
              <m:sub>
                <m:r>
                  <w:rPr>
                    <w:rFonts w:ascii="Cambria Math" w:hAnsi="Cambria Math"/>
                  </w:rPr>
                  <m:t>c</m:t>
                </m:r>
              </m:sub>
            </m:sSub>
          </m:e>
        </m:d>
      </m:oMath>
      <w:r w:rsidRPr="00082ABC">
        <w:t xml:space="preserve"> is the function of the difference between the profit earned for private investors and the revenue cap. </w:t>
      </w:r>
      <m:oMath>
        <m:sSub>
          <m:sSubPr>
            <m:ctrlPr>
              <w:rPr>
                <w:rFonts w:ascii="Cambria Math" w:hAnsi="Cambria Math"/>
                <w:lang w:val="en-AU" w:eastAsia="zh-CN"/>
              </w:rPr>
            </m:ctrlPr>
          </m:sSubPr>
          <m:e>
            <m:sSup>
              <m:sSupPr>
                <m:ctrlPr>
                  <w:rPr>
                    <w:rFonts w:ascii="Cambria Math" w:hAnsi="Cambria Math"/>
                    <w:lang w:val="en-AU" w:eastAsia="zh-CN"/>
                  </w:rPr>
                </m:ctrlPr>
              </m:sSupPr>
              <m:e>
                <m:r>
                  <w:rPr>
                    <w:rFonts w:ascii="Cambria Math" w:hAnsi="Cambria Math"/>
                  </w:rPr>
                  <m:t>t</m:t>
                </m:r>
              </m:e>
              <m:sup>
                <m:r>
                  <w:rPr>
                    <w:rFonts w:ascii="Cambria Math" w:hAnsi="Cambria Math"/>
                  </w:rPr>
                  <m:t>'</m:t>
                </m:r>
              </m:sup>
            </m:sSup>
          </m:e>
          <m:sub>
            <m:r>
              <w:rPr>
                <w:rFonts w:ascii="Cambria Math" w:hAnsi="Cambria Math"/>
              </w:rPr>
              <m:t>cmax</m:t>
            </m:r>
          </m:sub>
        </m:sSub>
      </m:oMath>
      <w:r w:rsidRPr="00082ABC">
        <w:t xml:space="preserve"> equals the maximum value of </w:t>
      </w:r>
      <m:oMath>
        <m:sSub>
          <m:sSubPr>
            <m:ctrlPr>
              <w:rPr>
                <w:rFonts w:ascii="Cambria Math" w:hAnsi="Cambria Math"/>
                <w:lang w:val="en-AU" w:eastAsia="zh-CN"/>
              </w:rPr>
            </m:ctrlPr>
          </m:sSubPr>
          <m:e>
            <m:r>
              <w:rPr>
                <w:rFonts w:ascii="Cambria Math" w:hAnsi="Cambria Math"/>
              </w:rPr>
              <m:t>t</m:t>
            </m:r>
          </m:e>
          <m:sub>
            <m:r>
              <w:rPr>
                <w:rFonts w:ascii="Cambria Math" w:hAnsi="Cambria Math"/>
              </w:rPr>
              <m:t>c</m:t>
            </m:r>
          </m:sub>
        </m:sSub>
      </m:oMath>
      <w:r w:rsidRPr="00082ABC">
        <w:t xml:space="preserve"> obtained from </w:t>
      </w:r>
      <m:oMath>
        <m:sSub>
          <m:sSubPr>
            <m:ctrlPr>
              <w:rPr>
                <w:rFonts w:ascii="Cambria Math" w:hAnsi="Cambria Math"/>
                <w:lang w:val="en-AU" w:eastAsia="zh-CN"/>
              </w:rPr>
            </m:ctrlPr>
          </m:sSubPr>
          <m:e>
            <m:r>
              <w:rPr>
                <w:rFonts w:ascii="Cambria Math" w:hAnsi="Cambria Math"/>
              </w:rPr>
              <m:t>F</m:t>
            </m:r>
          </m:e>
          <m:sub>
            <m:r>
              <w:rPr>
                <w:rFonts w:ascii="Cambria Math" w:hAnsi="Cambria Math"/>
              </w:rPr>
              <m:t>2</m:t>
            </m:r>
          </m:sub>
        </m:sSub>
        <m:d>
          <m:dPr>
            <m:ctrlPr>
              <w:rPr>
                <w:rFonts w:ascii="Cambria Math" w:hAnsi="Cambria Math"/>
                <w:lang w:val="en-AU" w:eastAsia="zh-CN"/>
              </w:rPr>
            </m:ctrlPr>
          </m:dPr>
          <m:e>
            <m:sSub>
              <m:sSubPr>
                <m:ctrlPr>
                  <w:rPr>
                    <w:rFonts w:ascii="Cambria Math" w:hAnsi="Cambria Math"/>
                    <w:lang w:val="en-AU" w:eastAsia="zh-CN"/>
                  </w:rPr>
                </m:ctrlPr>
              </m:sSubPr>
              <m:e>
                <m:r>
                  <w:rPr>
                    <w:rFonts w:ascii="Cambria Math" w:hAnsi="Cambria Math"/>
                  </w:rPr>
                  <m:t>t</m:t>
                </m:r>
              </m:e>
              <m:sub>
                <m:r>
                  <w:rPr>
                    <w:rFonts w:ascii="Cambria Math" w:hAnsi="Cambria Math"/>
                  </w:rPr>
                  <m:t>c</m:t>
                </m:r>
              </m:sub>
            </m:sSub>
          </m:e>
        </m:d>
      </m:oMath>
      <w:r w:rsidRPr="00082ABC">
        <w:t>. No moment after this threshold will be accepted by the governments, as the private investors can earn excess profit in an overly long period. Moreover, a prolonged concession period squ</w:t>
      </w:r>
      <w:r w:rsidRPr="00082ABC">
        <w:rPr>
          <w:rFonts w:hint="eastAsia"/>
        </w:rPr>
        <w:t>ee</w:t>
      </w:r>
      <w:r w:rsidRPr="00082ABC">
        <w:t>zes the time during which the governments receive revenue</w:t>
      </w:r>
      <w:r w:rsidRPr="00082ABC">
        <w:rPr>
          <w:rFonts w:hint="eastAsia"/>
        </w:rPr>
        <w:t>s</w:t>
      </w:r>
      <w:r w:rsidRPr="00082ABC">
        <w:t xml:space="preserve">. Every instant of time located </w:t>
      </w:r>
      <w:r w:rsidRPr="00082ABC">
        <w:rPr>
          <w:rFonts w:hint="eastAsia"/>
        </w:rPr>
        <w:t>withi</w:t>
      </w:r>
      <w:r w:rsidRPr="00082ABC">
        <w:t xml:space="preserve">n the interval of </w:t>
      </w:r>
      <m:oMath>
        <m:r>
          <w:rPr>
            <w:rFonts w:ascii="Cambria Math" w:hAnsi="Cambria Math"/>
          </w:rPr>
          <m:t>[</m:t>
        </m:r>
        <m:sSub>
          <m:sSubPr>
            <m:ctrlPr>
              <w:rPr>
                <w:rFonts w:ascii="Cambria Math" w:hAnsi="Cambria Math"/>
                <w:lang w:val="en-AU" w:eastAsia="zh-CN"/>
              </w:rPr>
            </m:ctrlPr>
          </m:sSubPr>
          <m:e>
            <m:sSup>
              <m:sSupPr>
                <m:ctrlPr>
                  <w:rPr>
                    <w:rFonts w:ascii="Cambria Math" w:hAnsi="Cambria Math"/>
                    <w:lang w:val="en-AU" w:eastAsia="zh-CN"/>
                  </w:rPr>
                </m:ctrlPr>
              </m:sSupPr>
              <m:e>
                <m:r>
                  <w:rPr>
                    <w:rFonts w:ascii="Cambria Math" w:hAnsi="Cambria Math"/>
                  </w:rPr>
                  <m:t>t</m:t>
                </m:r>
              </m:e>
              <m:sup>
                <m:r>
                  <w:rPr>
                    <w:rFonts w:ascii="Cambria Math" w:hAnsi="Cambria Math"/>
                  </w:rPr>
                  <m:t>'</m:t>
                </m:r>
              </m:sup>
            </m:sSup>
          </m:e>
          <m:sub>
            <m:r>
              <w:rPr>
                <w:rFonts w:ascii="Cambria Math" w:hAnsi="Cambria Math"/>
              </w:rPr>
              <m:t xml:space="preserve">cmin,  </m:t>
            </m:r>
          </m:sub>
        </m:sSub>
        <m:sSub>
          <m:sSubPr>
            <m:ctrlPr>
              <w:rPr>
                <w:rFonts w:ascii="Cambria Math" w:hAnsi="Cambria Math"/>
                <w:lang w:val="en-AU" w:eastAsia="zh-CN"/>
              </w:rPr>
            </m:ctrlPr>
          </m:sSubPr>
          <m:e>
            <m:sSup>
              <m:sSupPr>
                <m:ctrlPr>
                  <w:rPr>
                    <w:rFonts w:ascii="Cambria Math" w:hAnsi="Cambria Math"/>
                    <w:lang w:val="en-AU" w:eastAsia="zh-CN"/>
                  </w:rPr>
                </m:ctrlPr>
              </m:sSupPr>
              <m:e>
                <m:r>
                  <w:rPr>
                    <w:rFonts w:ascii="Cambria Math" w:hAnsi="Cambria Math"/>
                  </w:rPr>
                  <m:t>t</m:t>
                </m:r>
              </m:e>
              <m:sup>
                <m:r>
                  <w:rPr>
                    <w:rFonts w:ascii="Cambria Math" w:hAnsi="Cambria Math"/>
                  </w:rPr>
                  <m:t>'</m:t>
                </m:r>
              </m:sup>
            </m:sSup>
          </m:e>
          <m:sub>
            <m:r>
              <w:rPr>
                <w:rFonts w:ascii="Cambria Math" w:hAnsi="Cambria Math"/>
              </w:rPr>
              <m:t>cmax</m:t>
            </m:r>
          </m:sub>
        </m:sSub>
        <m:r>
          <w:rPr>
            <w:rFonts w:ascii="Cambria Math" w:hAnsi="Cambria Math"/>
          </w:rPr>
          <m:t>]</m:t>
        </m:r>
      </m:oMath>
      <w:r w:rsidRPr="00082ABC">
        <w:t xml:space="preserve"> can fulfil </w:t>
      </w:r>
      <w:r w:rsidRPr="00082ABC">
        <w:lastRenderedPageBreak/>
        <w:t xml:space="preserve">the </w:t>
      </w:r>
      <w:r w:rsidRPr="00082ABC">
        <w:rPr>
          <w:rFonts w:hint="eastAsia"/>
        </w:rPr>
        <w:t>profit</w:t>
      </w:r>
      <w:r w:rsidRPr="00082ABC">
        <w:t xml:space="preserve"> requirement of private investors, and meanwhile the governments achieve the target of limiting private investors’ revenue within a reasonable range. </w:t>
      </w:r>
    </w:p>
    <w:p w:rsidR="00082ABC" w:rsidRPr="00082ABC" w:rsidRDefault="00082ABC" w:rsidP="00082ABC"/>
    <w:p w:rsidR="00082ABC" w:rsidRDefault="00082ABC" w:rsidP="00082ABC">
      <w:r w:rsidRPr="00082ABC">
        <w:rPr>
          <w:rFonts w:hint="eastAsia"/>
        </w:rPr>
        <w:t>T</w:t>
      </w:r>
      <w:r w:rsidRPr="00082ABC">
        <w:t xml:space="preserve">he optimal length of the concession period is calculated following a three-stage bargaining process. As shown in Figure 3, in the first stage of the bargaining process, the private investor offer a concession period of </w:t>
      </w:r>
      <m:oMath>
        <m:sSub>
          <m:sSubPr>
            <m:ctrlPr>
              <w:rPr>
                <w:rFonts w:ascii="Cambria Math" w:hAnsi="Cambria Math"/>
                <w:lang w:val="en-AU" w:eastAsia="zh-CN"/>
              </w:rPr>
            </m:ctrlPr>
          </m:sSubPr>
          <m:e>
            <m:r>
              <w:rPr>
                <w:rFonts w:ascii="Cambria Math" w:hAnsi="Cambria Math"/>
              </w:rPr>
              <m:t>t</m:t>
            </m:r>
          </m:e>
          <m:sub>
            <m:r>
              <w:rPr>
                <w:rFonts w:ascii="Cambria Math" w:hAnsi="Cambria Math"/>
              </w:rPr>
              <m:t>c1</m:t>
            </m:r>
          </m:sub>
        </m:sSub>
      </m:oMath>
      <w:r w:rsidRPr="00082ABC">
        <w:rPr>
          <w:rFonts w:hint="eastAsia"/>
        </w:rPr>
        <w:t>.</w:t>
      </w:r>
      <w:r w:rsidRPr="00082ABC">
        <w:t xml:space="preserve"> If the government accept the offer, they will gain the payoff whose value equals the extra money they can claim from the private investor for a profits control. The payoff for the private investor will be the money earned that is higher than their opportunity cost. The game will ends in stage three whether the government accepts the counteroffer proposed by the private investor</w:t>
      </w:r>
      <w:r w:rsidR="00EA043F">
        <w:t xml:space="preserve"> or not</w:t>
      </w:r>
      <w:r w:rsidRPr="00082ABC">
        <w:t xml:space="preserve">. The private investor will offer </w:t>
      </w:r>
      <m:oMath>
        <m:sSubSup>
          <m:sSubSupPr>
            <m:ctrlPr>
              <w:rPr>
                <w:rFonts w:ascii="Cambria Math" w:hAnsi="Cambria Math"/>
                <w:lang w:val="en-AU" w:eastAsia="zh-CN"/>
              </w:rPr>
            </m:ctrlPr>
          </m:sSubSupPr>
          <m:e>
            <m:r>
              <w:rPr>
                <w:rFonts w:ascii="Cambria Math" w:hAnsi="Cambria Math"/>
              </w:rPr>
              <m:t>t</m:t>
            </m:r>
          </m:e>
          <m:sub>
            <m:r>
              <w:rPr>
                <w:rFonts w:ascii="Cambria Math" w:hAnsi="Cambria Math"/>
              </w:rPr>
              <m:t>cmax</m:t>
            </m:r>
          </m:sub>
          <m:sup>
            <m:r>
              <w:rPr>
                <w:rFonts w:ascii="Cambria Math" w:hAnsi="Cambria Math"/>
              </w:rPr>
              <m:t>'</m:t>
            </m:r>
          </m:sup>
        </m:sSubSup>
      </m:oMath>
      <w:r w:rsidRPr="00082ABC">
        <w:rPr>
          <w:rFonts w:hint="eastAsia"/>
        </w:rPr>
        <w:t xml:space="preserve"> </w:t>
      </w:r>
      <w:r w:rsidRPr="00082ABC">
        <w:t xml:space="preserve">to maximize their payoff at the final stage. </w:t>
      </w:r>
    </w:p>
    <w:p w:rsidR="007D0E00" w:rsidRPr="007D0E00" w:rsidRDefault="007D0E00" w:rsidP="007D0E00">
      <w:pPr>
        <w:ind w:firstLineChars="450" w:firstLine="1080"/>
      </w:pPr>
      <w:r w:rsidRPr="00082ABC">
        <w:rPr>
          <w:noProof/>
        </w:rPr>
        <w:drawing>
          <wp:inline distT="0" distB="0" distL="0" distR="0" wp14:anchorId="2AFAC55C" wp14:editId="7172177C">
            <wp:extent cx="3640214" cy="4088833"/>
            <wp:effectExtent l="0" t="0" r="508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40214" cy="4088833"/>
                    </a:xfrm>
                    <a:prstGeom prst="rect">
                      <a:avLst/>
                    </a:prstGeom>
                  </pic:spPr>
                </pic:pic>
              </a:graphicData>
            </a:graphic>
          </wp:inline>
        </w:drawing>
      </w:r>
    </w:p>
    <w:p w:rsidR="007D0E00" w:rsidRPr="007D0E00" w:rsidRDefault="007D0E00" w:rsidP="007D0E00">
      <w:pPr>
        <w:pStyle w:val="References"/>
        <w:ind w:leftChars="50" w:left="120" w:firstLineChars="950" w:firstLine="2090"/>
      </w:pPr>
      <w:r w:rsidRPr="00082ABC">
        <w:rPr>
          <w:rFonts w:hint="eastAsia"/>
        </w:rPr>
        <w:t>F</w:t>
      </w:r>
      <w:r w:rsidRPr="007D0E00">
        <w:t>ig. 3 A three-stage bargaining process</w:t>
      </w:r>
    </w:p>
    <w:p w:rsidR="007D0E00" w:rsidRPr="00082ABC" w:rsidRDefault="007D0E00" w:rsidP="007D0E00">
      <w:r w:rsidRPr="00082ABC">
        <w:t xml:space="preserve">The optimal length of the concession period can be derived via a backward induction. In stage 2, in order to make it no difference for the private investor to accept or reject the offer, the value of </w:t>
      </w:r>
      <m:oMath>
        <m:sSub>
          <m:sSubPr>
            <m:ctrlPr>
              <w:rPr>
                <w:rFonts w:ascii="Cambria Math" w:hAnsi="Cambria Math"/>
                <w:lang w:val="en-AU" w:eastAsia="zh-CN"/>
              </w:rPr>
            </m:ctrlPr>
          </m:sSubPr>
          <m:e>
            <m:r>
              <w:rPr>
                <w:rFonts w:ascii="Cambria Math" w:hAnsi="Cambria Math"/>
              </w:rPr>
              <m:t>t</m:t>
            </m:r>
          </m:e>
          <m:sub>
            <m:r>
              <w:rPr>
                <w:rFonts w:ascii="Cambria Math" w:hAnsi="Cambria Math"/>
              </w:rPr>
              <m:t>c2</m:t>
            </m:r>
          </m:sub>
        </m:sSub>
      </m:oMath>
      <w:r w:rsidRPr="00082ABC">
        <w:t xml:space="preserve"> should meet the following equation:</w:t>
      </w:r>
    </w:p>
    <w:p w:rsidR="007D0E00" w:rsidRPr="00082ABC" w:rsidRDefault="003375FF" w:rsidP="007D0E00">
      <m:oMath>
        <m:sSub>
          <m:sSubPr>
            <m:ctrlPr>
              <w:rPr>
                <w:rFonts w:ascii="Cambria Math" w:hAnsi="Cambria Math"/>
                <w:lang w:eastAsia="zh-CN"/>
              </w:rPr>
            </m:ctrlPr>
          </m:sSubPr>
          <m:e>
            <m:r>
              <w:rPr>
                <w:rFonts w:ascii="Cambria Math" w:hAnsi="Cambria Math"/>
              </w:rPr>
              <m:t>ENPV</m:t>
            </m:r>
          </m:e>
          <m:sub>
            <m:r>
              <w:rPr>
                <w:rFonts w:ascii="Cambria Math" w:hAnsi="Cambria Math"/>
              </w:rPr>
              <m:t>pi</m:t>
            </m:r>
          </m:sub>
        </m:sSub>
        <m:r>
          <w:rPr>
            <w:rFonts w:ascii="Cambria Math" w:hAnsi="Cambria Math"/>
          </w:rPr>
          <m:t>(</m:t>
        </m:r>
        <m:sSub>
          <m:sSubPr>
            <m:ctrlPr>
              <w:rPr>
                <w:rFonts w:ascii="Cambria Math" w:hAnsi="Cambria Math"/>
                <w:lang w:eastAsia="zh-CN"/>
              </w:rPr>
            </m:ctrlPr>
          </m:sSubPr>
          <m:e>
            <m:r>
              <w:rPr>
                <w:rFonts w:ascii="Cambria Math" w:hAnsi="Cambria Math"/>
              </w:rPr>
              <m:t>t</m:t>
            </m:r>
          </m:e>
          <m:sub>
            <m:r>
              <w:rPr>
                <w:rFonts w:ascii="Cambria Math" w:hAnsi="Cambria Math"/>
              </w:rPr>
              <m:t>c2</m:t>
            </m:r>
          </m:sub>
        </m:sSub>
      </m:oMath>
      <w:r w:rsidR="007D0E00" w:rsidRPr="00082ABC">
        <w:t>)</w:t>
      </w:r>
      <m:oMath>
        <m:sSub>
          <m:sSubPr>
            <m:ctrlPr>
              <w:rPr>
                <w:rFonts w:ascii="Cambria Math" w:hAnsi="Cambria Math"/>
                <w:lang w:eastAsia="zh-CN"/>
              </w:rPr>
            </m:ctrlPr>
          </m:sSubPr>
          <m:e>
            <m:r>
              <w:rPr>
                <w:rFonts w:ascii="Cambria Math" w:hAnsi="Cambria Math"/>
              </w:rPr>
              <m:t>-ENPV</m:t>
            </m:r>
          </m:e>
          <m:sub>
            <m:r>
              <w:rPr>
                <w:rFonts w:ascii="Cambria Math" w:hAnsi="Cambria Math"/>
              </w:rPr>
              <m:t>pi</m:t>
            </m:r>
          </m:sub>
        </m:sSub>
        <m:d>
          <m:dPr>
            <m:ctrlPr>
              <w:rPr>
                <w:rFonts w:ascii="Cambria Math" w:hAnsi="Cambria Math"/>
                <w:lang w:eastAsia="zh-CN"/>
              </w:rPr>
            </m:ctrlPr>
          </m:dPr>
          <m:e>
            <m:sSubSup>
              <m:sSubSupPr>
                <m:ctrlPr>
                  <w:rPr>
                    <w:rFonts w:ascii="Cambria Math" w:hAnsi="Cambria Math"/>
                    <w:lang w:eastAsia="zh-CN"/>
                  </w:rPr>
                </m:ctrlPr>
              </m:sSubSupPr>
              <m:e>
                <m:r>
                  <w:rPr>
                    <w:rFonts w:ascii="Cambria Math" w:hAnsi="Cambria Math"/>
                  </w:rPr>
                  <m:t>t</m:t>
                </m:r>
              </m:e>
              <m:sub>
                <m:r>
                  <w:rPr>
                    <w:rFonts w:ascii="Cambria Math" w:hAnsi="Cambria Math"/>
                  </w:rPr>
                  <m:t>cmin</m:t>
                </m:r>
              </m:sub>
              <m:sup>
                <m:r>
                  <w:rPr>
                    <w:rFonts w:ascii="Cambria Math" w:hAnsi="Cambria Math"/>
                  </w:rPr>
                  <m:t>'</m:t>
                </m:r>
              </m:sup>
            </m:sSubSup>
          </m:e>
        </m:d>
      </m:oMath>
      <w:r w:rsidR="007D0E00" w:rsidRPr="00082ABC">
        <w:t xml:space="preserve"> = </w:t>
      </w:r>
      <m:oMath>
        <m:sSub>
          <m:sSubPr>
            <m:ctrlPr>
              <w:rPr>
                <w:rFonts w:ascii="Cambria Math" w:hAnsi="Cambria Math"/>
                <w:lang w:eastAsia="zh-CN"/>
              </w:rPr>
            </m:ctrlPr>
          </m:sSubPr>
          <m:e>
            <m:r>
              <w:rPr>
                <w:rFonts w:ascii="Cambria Math" w:hAnsi="Cambria Math"/>
              </w:rPr>
              <m:t>σ</m:t>
            </m:r>
          </m:e>
          <m:sub>
            <m:r>
              <w:rPr>
                <w:rFonts w:ascii="Cambria Math" w:hAnsi="Cambria Math"/>
              </w:rPr>
              <m:t>pi</m:t>
            </m:r>
          </m:sub>
        </m:sSub>
        <m:r>
          <w:rPr>
            <w:rFonts w:ascii="Cambria Math" w:hAnsi="Cambria Math"/>
          </w:rPr>
          <m:t>×</m:t>
        </m:r>
        <m:sSub>
          <m:sSubPr>
            <m:ctrlPr>
              <w:rPr>
                <w:rFonts w:ascii="Cambria Math" w:hAnsi="Cambria Math"/>
                <w:lang w:eastAsia="zh-CN"/>
              </w:rPr>
            </m:ctrlPr>
          </m:sSubPr>
          <m:e>
            <m:r>
              <w:rPr>
                <w:rFonts w:ascii="Cambria Math" w:hAnsi="Cambria Math"/>
              </w:rPr>
              <m:t>[ENPV</m:t>
            </m:r>
          </m:e>
          <m:sub>
            <m:r>
              <w:rPr>
                <w:rFonts w:ascii="Cambria Math" w:hAnsi="Cambria Math"/>
              </w:rPr>
              <m:t>pi</m:t>
            </m:r>
          </m:sub>
        </m:sSub>
        <m:d>
          <m:dPr>
            <m:ctrlPr>
              <w:rPr>
                <w:rFonts w:ascii="Cambria Math" w:hAnsi="Cambria Math"/>
                <w:lang w:eastAsia="zh-CN"/>
              </w:rPr>
            </m:ctrlPr>
          </m:dPr>
          <m:e>
            <m:sSubSup>
              <m:sSubSupPr>
                <m:ctrlPr>
                  <w:rPr>
                    <w:rFonts w:ascii="Cambria Math" w:hAnsi="Cambria Math"/>
                    <w:lang w:eastAsia="zh-CN"/>
                  </w:rPr>
                </m:ctrlPr>
              </m:sSubSupPr>
              <m:e>
                <m:r>
                  <w:rPr>
                    <w:rFonts w:ascii="Cambria Math" w:hAnsi="Cambria Math"/>
                  </w:rPr>
                  <m:t>t</m:t>
                </m:r>
              </m:e>
              <m:sub>
                <m:r>
                  <w:rPr>
                    <w:rFonts w:ascii="Cambria Math" w:hAnsi="Cambria Math"/>
                  </w:rPr>
                  <m:t>cmax</m:t>
                </m:r>
              </m:sub>
              <m:sup>
                <m:r>
                  <w:rPr>
                    <w:rFonts w:ascii="Cambria Math" w:hAnsi="Cambria Math"/>
                  </w:rPr>
                  <m:t>'</m:t>
                </m:r>
              </m:sup>
            </m:sSubSup>
          </m:e>
        </m:d>
        <m:r>
          <w:rPr>
            <w:rFonts w:ascii="Cambria Math" w:hAnsi="Cambria Math"/>
          </w:rPr>
          <m:t>-</m:t>
        </m:r>
        <m:sSub>
          <m:sSubPr>
            <m:ctrlPr>
              <w:rPr>
                <w:rFonts w:ascii="Cambria Math" w:hAnsi="Cambria Math"/>
                <w:lang w:eastAsia="zh-CN"/>
              </w:rPr>
            </m:ctrlPr>
          </m:sSubPr>
          <m:e>
            <m:r>
              <w:rPr>
                <w:rFonts w:ascii="Cambria Math" w:hAnsi="Cambria Math"/>
              </w:rPr>
              <m:t>ENPV</m:t>
            </m:r>
          </m:e>
          <m:sub>
            <m:r>
              <w:rPr>
                <w:rFonts w:ascii="Cambria Math" w:hAnsi="Cambria Math"/>
              </w:rPr>
              <m:t>pi</m:t>
            </m:r>
          </m:sub>
        </m:sSub>
        <m:d>
          <m:dPr>
            <m:ctrlPr>
              <w:rPr>
                <w:rFonts w:ascii="Cambria Math" w:hAnsi="Cambria Math"/>
                <w:lang w:eastAsia="zh-CN"/>
              </w:rPr>
            </m:ctrlPr>
          </m:dPr>
          <m:e>
            <m:sSubSup>
              <m:sSubSupPr>
                <m:ctrlPr>
                  <w:rPr>
                    <w:rFonts w:ascii="Cambria Math" w:hAnsi="Cambria Math"/>
                    <w:lang w:eastAsia="zh-CN"/>
                  </w:rPr>
                </m:ctrlPr>
              </m:sSubSupPr>
              <m:e>
                <m:r>
                  <w:rPr>
                    <w:rFonts w:ascii="Cambria Math" w:hAnsi="Cambria Math"/>
                  </w:rPr>
                  <m:t>t</m:t>
                </m:r>
              </m:e>
              <m:sub>
                <m:r>
                  <w:rPr>
                    <w:rFonts w:ascii="Cambria Math" w:hAnsi="Cambria Math"/>
                  </w:rPr>
                  <m:t>cmin</m:t>
                </m:r>
              </m:sub>
              <m:sup>
                <m:r>
                  <w:rPr>
                    <w:rFonts w:ascii="Cambria Math" w:hAnsi="Cambria Math"/>
                  </w:rPr>
                  <m:t>'</m:t>
                </m:r>
              </m:sup>
            </m:sSubSup>
          </m:e>
        </m:d>
        <m:r>
          <w:rPr>
            <w:rFonts w:ascii="Cambria Math" w:hAnsi="Cambria Math"/>
          </w:rPr>
          <m:t>]</m:t>
        </m:r>
      </m:oMath>
      <w:r w:rsidR="007D0E00" w:rsidRPr="00082ABC">
        <w:rPr>
          <w:rFonts w:hint="eastAsia"/>
        </w:rPr>
        <w:t xml:space="preserve"> </w:t>
      </w:r>
      <w:r w:rsidR="007D0E00" w:rsidRPr="00082ABC">
        <w:t>(</w:t>
      </w:r>
      <w:r w:rsidR="003A7800">
        <w:t>6</w:t>
      </w:r>
      <w:r w:rsidR="007D0E00" w:rsidRPr="00082ABC">
        <w:t>)</w:t>
      </w:r>
    </w:p>
    <w:p w:rsidR="007D0E00" w:rsidRDefault="007D0E00" w:rsidP="007D0E00">
      <w:r w:rsidRPr="00082ABC">
        <w:t xml:space="preserve">where </w:t>
      </w:r>
      <m:oMath>
        <m:sSub>
          <m:sSubPr>
            <m:ctrlPr>
              <w:rPr>
                <w:rFonts w:ascii="Cambria Math" w:hAnsi="Cambria Math"/>
                <w:lang w:eastAsia="zh-CN"/>
              </w:rPr>
            </m:ctrlPr>
          </m:sSubPr>
          <m:e>
            <m:r>
              <w:rPr>
                <w:rFonts w:ascii="Cambria Math" w:hAnsi="Cambria Math"/>
              </w:rPr>
              <m:t>σ</m:t>
            </m:r>
          </m:e>
          <m:sub>
            <m:r>
              <w:rPr>
                <w:rFonts w:ascii="Cambria Math" w:hAnsi="Cambria Math"/>
              </w:rPr>
              <m:t>pi</m:t>
            </m:r>
          </m:sub>
        </m:sSub>
      </m:oMath>
      <w:r w:rsidRPr="00082ABC">
        <w:t xml:space="preserve"> is the discount factor for the private investor.</w:t>
      </w:r>
    </w:p>
    <w:p w:rsidR="007D0E00" w:rsidRDefault="007D0E00" w:rsidP="007D0E00"/>
    <w:p w:rsidR="007D0E00" w:rsidRPr="00082ABC" w:rsidRDefault="007D0E00" w:rsidP="007D0E00">
      <w:r w:rsidRPr="00082ABC">
        <w:t xml:space="preserve">Similarly, the value of </w:t>
      </w:r>
      <m:oMath>
        <m:sSub>
          <m:sSubPr>
            <m:ctrlPr>
              <w:rPr>
                <w:rFonts w:ascii="Cambria Math" w:hAnsi="Cambria Math"/>
                <w:lang w:val="en-AU" w:eastAsia="zh-CN"/>
              </w:rPr>
            </m:ctrlPr>
          </m:sSubPr>
          <m:e>
            <m:r>
              <w:rPr>
                <w:rFonts w:ascii="Cambria Math" w:hAnsi="Cambria Math"/>
              </w:rPr>
              <m:t>t</m:t>
            </m:r>
          </m:e>
          <m:sub>
            <m:r>
              <w:rPr>
                <w:rFonts w:ascii="Cambria Math" w:hAnsi="Cambria Math"/>
              </w:rPr>
              <m:t>c1</m:t>
            </m:r>
          </m:sub>
        </m:sSub>
      </m:oMath>
      <w:r w:rsidRPr="00082ABC">
        <w:t xml:space="preserve"> meets:</w:t>
      </w:r>
    </w:p>
    <w:p w:rsidR="007D0E00" w:rsidRPr="00082ABC" w:rsidRDefault="003375FF" w:rsidP="007D0E00">
      <m:oMath>
        <m:sSub>
          <m:sSubPr>
            <m:ctrlPr>
              <w:rPr>
                <w:rFonts w:ascii="Cambria Math" w:hAnsi="Cambria Math"/>
                <w:lang w:eastAsia="zh-CN"/>
              </w:rPr>
            </m:ctrlPr>
          </m:sSubPr>
          <m:e>
            <m:r>
              <w:rPr>
                <w:rFonts w:ascii="Cambria Math" w:hAnsi="Cambria Math"/>
              </w:rPr>
              <m:t> NPV</m:t>
            </m:r>
          </m:e>
          <m:sub>
            <m:r>
              <w:rPr>
                <w:rFonts w:ascii="Cambria Math" w:hAnsi="Cambria Math"/>
              </w:rPr>
              <m:t>g</m:t>
            </m:r>
          </m:sub>
        </m:sSub>
        <m:r>
          <w:rPr>
            <w:rFonts w:ascii="Cambria Math" w:hAnsi="Cambria Math"/>
          </w:rPr>
          <m:t>(</m:t>
        </m:r>
        <m:sSub>
          <m:sSubPr>
            <m:ctrlPr>
              <w:rPr>
                <w:rFonts w:ascii="Cambria Math" w:hAnsi="Cambria Math"/>
                <w:lang w:eastAsia="zh-CN"/>
              </w:rPr>
            </m:ctrlPr>
          </m:sSubPr>
          <m:e>
            <m:r>
              <w:rPr>
                <w:rFonts w:ascii="Cambria Math" w:hAnsi="Cambria Math"/>
              </w:rPr>
              <m:t>t</m:t>
            </m:r>
          </m:e>
          <m:sub>
            <m:r>
              <w:rPr>
                <w:rFonts w:ascii="Cambria Math" w:hAnsi="Cambria Math"/>
              </w:rPr>
              <m:t>c1</m:t>
            </m:r>
          </m:sub>
        </m:sSub>
      </m:oMath>
      <w:r w:rsidR="007D0E00" w:rsidRPr="00082ABC">
        <w:t xml:space="preserve">) </w:t>
      </w:r>
      <m:oMath>
        <m:r>
          <w:rPr>
            <w:rFonts w:ascii="Cambria Math" w:hAnsi="Cambria Math"/>
          </w:rPr>
          <m:t xml:space="preserve">- </m:t>
        </m:r>
        <m:sSub>
          <m:sSubPr>
            <m:ctrlPr>
              <w:rPr>
                <w:rFonts w:ascii="Cambria Math" w:hAnsi="Cambria Math"/>
                <w:lang w:eastAsia="zh-CN"/>
              </w:rPr>
            </m:ctrlPr>
          </m:sSubPr>
          <m:e>
            <m:r>
              <w:rPr>
                <w:rFonts w:ascii="Cambria Math" w:hAnsi="Cambria Math"/>
              </w:rPr>
              <m:t>NPV</m:t>
            </m:r>
          </m:e>
          <m:sub>
            <m:r>
              <w:rPr>
                <w:rFonts w:ascii="Cambria Math" w:hAnsi="Cambria Math"/>
              </w:rPr>
              <m:t>g</m:t>
            </m:r>
          </m:sub>
        </m:sSub>
        <m:d>
          <m:dPr>
            <m:ctrlPr>
              <w:rPr>
                <w:rFonts w:ascii="Cambria Math" w:hAnsi="Cambria Math"/>
                <w:lang w:eastAsia="zh-CN"/>
              </w:rPr>
            </m:ctrlPr>
          </m:dPr>
          <m:e>
            <m:sSubSup>
              <m:sSubSupPr>
                <m:ctrlPr>
                  <w:rPr>
                    <w:rFonts w:ascii="Cambria Math" w:hAnsi="Cambria Math"/>
                    <w:lang w:eastAsia="zh-CN"/>
                  </w:rPr>
                </m:ctrlPr>
              </m:sSubSupPr>
              <m:e>
                <m:r>
                  <w:rPr>
                    <w:rFonts w:ascii="Cambria Math" w:hAnsi="Cambria Math"/>
                  </w:rPr>
                  <m:t>t</m:t>
                </m:r>
              </m:e>
              <m:sub>
                <m:r>
                  <w:rPr>
                    <w:rFonts w:ascii="Cambria Math" w:hAnsi="Cambria Math"/>
                  </w:rPr>
                  <m:t>cmax</m:t>
                </m:r>
              </m:sub>
              <m:sup>
                <m:r>
                  <w:rPr>
                    <w:rFonts w:ascii="Cambria Math" w:hAnsi="Cambria Math"/>
                  </w:rPr>
                  <m:t>'</m:t>
                </m:r>
              </m:sup>
            </m:sSubSup>
          </m:e>
        </m:d>
      </m:oMath>
      <w:r w:rsidR="007D0E00" w:rsidRPr="00082ABC">
        <w:t xml:space="preserve"> = </w:t>
      </w:r>
      <m:oMath>
        <m:sSub>
          <m:sSubPr>
            <m:ctrlPr>
              <w:rPr>
                <w:rFonts w:ascii="Cambria Math" w:hAnsi="Cambria Math"/>
                <w:lang w:eastAsia="zh-CN"/>
              </w:rPr>
            </m:ctrlPr>
          </m:sSubPr>
          <m:e>
            <m:r>
              <w:rPr>
                <w:rFonts w:ascii="Cambria Math" w:hAnsi="Cambria Math"/>
              </w:rPr>
              <m:t>σ</m:t>
            </m:r>
          </m:e>
          <m:sub>
            <m:r>
              <w:rPr>
                <w:rFonts w:ascii="Cambria Math" w:hAnsi="Cambria Math"/>
              </w:rPr>
              <m:t>g</m:t>
            </m:r>
          </m:sub>
        </m:sSub>
        <m:r>
          <w:rPr>
            <w:rFonts w:ascii="Cambria Math" w:hAnsi="Cambria Math"/>
          </w:rPr>
          <m:t>×</m:t>
        </m:r>
        <m:sSub>
          <m:sSubPr>
            <m:ctrlPr>
              <w:rPr>
                <w:rFonts w:ascii="Cambria Math" w:hAnsi="Cambria Math"/>
                <w:lang w:eastAsia="zh-CN"/>
              </w:rPr>
            </m:ctrlPr>
          </m:sSubPr>
          <m:e>
            <m:r>
              <w:rPr>
                <w:rFonts w:ascii="Cambria Math" w:hAnsi="Cambria Math"/>
              </w:rPr>
              <m:t>[ENPV</m:t>
            </m:r>
          </m:e>
          <m:sub>
            <m:r>
              <w:rPr>
                <w:rFonts w:ascii="Cambria Math" w:hAnsi="Cambria Math"/>
              </w:rPr>
              <m:t>pi</m:t>
            </m:r>
          </m:sub>
        </m:sSub>
        <m:d>
          <m:dPr>
            <m:ctrlPr>
              <w:rPr>
                <w:rFonts w:ascii="Cambria Math" w:hAnsi="Cambria Math"/>
                <w:lang w:eastAsia="zh-CN"/>
              </w:rPr>
            </m:ctrlPr>
          </m:dPr>
          <m:e>
            <m:sSub>
              <m:sSubPr>
                <m:ctrlPr>
                  <w:rPr>
                    <w:rFonts w:ascii="Cambria Math" w:hAnsi="Cambria Math"/>
                  </w:rPr>
                </m:ctrlPr>
              </m:sSubPr>
              <m:e>
                <m:r>
                  <w:rPr>
                    <w:rFonts w:ascii="Cambria Math" w:hAnsi="Cambria Math"/>
                  </w:rPr>
                  <m:t>t</m:t>
                </m:r>
              </m:e>
              <m:sub>
                <m:r>
                  <w:rPr>
                    <w:rFonts w:ascii="Cambria Math" w:hAnsi="Cambria Math"/>
                  </w:rPr>
                  <m:t>c2</m:t>
                </m:r>
              </m:sub>
            </m:sSub>
          </m:e>
        </m:d>
        <m:r>
          <w:rPr>
            <w:rFonts w:ascii="Cambria Math" w:hAnsi="Cambria Math"/>
          </w:rPr>
          <m:t>-</m:t>
        </m:r>
        <m:sSub>
          <m:sSubPr>
            <m:ctrlPr>
              <w:rPr>
                <w:rFonts w:ascii="Cambria Math" w:hAnsi="Cambria Math"/>
                <w:lang w:eastAsia="zh-CN"/>
              </w:rPr>
            </m:ctrlPr>
          </m:sSubPr>
          <m:e>
            <m:r>
              <w:rPr>
                <w:rFonts w:ascii="Cambria Math" w:hAnsi="Cambria Math"/>
              </w:rPr>
              <m:t>ENPV</m:t>
            </m:r>
          </m:e>
          <m:sub>
            <m:r>
              <w:rPr>
                <w:rFonts w:ascii="Cambria Math" w:hAnsi="Cambria Math"/>
              </w:rPr>
              <m:t>pi</m:t>
            </m:r>
          </m:sub>
        </m:sSub>
        <m:d>
          <m:dPr>
            <m:ctrlPr>
              <w:rPr>
                <w:rFonts w:ascii="Cambria Math" w:hAnsi="Cambria Math"/>
                <w:lang w:eastAsia="zh-CN"/>
              </w:rPr>
            </m:ctrlPr>
          </m:dPr>
          <m:e>
            <m:sSubSup>
              <m:sSubSupPr>
                <m:ctrlPr>
                  <w:rPr>
                    <w:rFonts w:ascii="Cambria Math" w:hAnsi="Cambria Math"/>
                    <w:lang w:eastAsia="zh-CN"/>
                  </w:rPr>
                </m:ctrlPr>
              </m:sSubSupPr>
              <m:e>
                <m:r>
                  <w:rPr>
                    <w:rFonts w:ascii="Cambria Math" w:hAnsi="Cambria Math"/>
                  </w:rPr>
                  <m:t>t</m:t>
                </m:r>
              </m:e>
              <m:sub>
                <m:r>
                  <w:rPr>
                    <w:rFonts w:ascii="Cambria Math" w:hAnsi="Cambria Math"/>
                  </w:rPr>
                  <m:t>cmax</m:t>
                </m:r>
              </m:sub>
              <m:sup>
                <m:r>
                  <w:rPr>
                    <w:rFonts w:ascii="Cambria Math" w:hAnsi="Cambria Math"/>
                  </w:rPr>
                  <m:t>'</m:t>
                </m:r>
              </m:sup>
            </m:sSubSup>
          </m:e>
        </m:d>
        <m:r>
          <w:rPr>
            <w:rFonts w:ascii="Cambria Math" w:hAnsi="Cambria Math"/>
          </w:rPr>
          <m:t>]</m:t>
        </m:r>
      </m:oMath>
      <w:r w:rsidR="007D0E00" w:rsidRPr="00082ABC">
        <w:rPr>
          <w:rFonts w:hint="eastAsia"/>
        </w:rPr>
        <w:t xml:space="preserve"> </w:t>
      </w:r>
      <w:r w:rsidR="007D0E00" w:rsidRPr="00082ABC">
        <w:t>(</w:t>
      </w:r>
      <w:r w:rsidR="003A7800">
        <w:t>7</w:t>
      </w:r>
      <w:r w:rsidR="007D0E00" w:rsidRPr="00082ABC">
        <w:t>)</w:t>
      </w:r>
    </w:p>
    <w:p w:rsidR="00082ABC" w:rsidRPr="00082ABC" w:rsidRDefault="00082ABC" w:rsidP="00082ABC">
      <w:pPr>
        <w:sectPr w:rsidR="00082ABC" w:rsidRPr="00082ABC" w:rsidSect="002B438D">
          <w:headerReference w:type="even" r:id="rId11"/>
          <w:headerReference w:type="default" r:id="rId12"/>
          <w:footerReference w:type="even" r:id="rId13"/>
          <w:footerReference w:type="default" r:id="rId14"/>
          <w:headerReference w:type="first" r:id="rId15"/>
          <w:footerReference w:type="first" r:id="rId16"/>
          <w:pgSz w:w="11909" w:h="16834"/>
          <w:pgMar w:top="1440" w:right="1440" w:bottom="1440" w:left="2155" w:header="720" w:footer="720" w:gutter="0"/>
          <w:cols w:space="720"/>
          <w:docGrid w:linePitch="360"/>
        </w:sectPr>
      </w:pPr>
    </w:p>
    <w:p w:rsidR="00082ABC" w:rsidRPr="00082ABC" w:rsidRDefault="00082ABC" w:rsidP="00082ABC">
      <w:r w:rsidRPr="00082ABC">
        <w:lastRenderedPageBreak/>
        <w:t xml:space="preserve">where </w:t>
      </w:r>
      <m:oMath>
        <m:sSub>
          <m:sSubPr>
            <m:ctrlPr>
              <w:rPr>
                <w:rFonts w:ascii="Cambria Math" w:hAnsi="Cambria Math"/>
                <w:lang w:eastAsia="zh-CN"/>
              </w:rPr>
            </m:ctrlPr>
          </m:sSubPr>
          <m:e>
            <m:r>
              <w:rPr>
                <w:rFonts w:ascii="Cambria Math" w:hAnsi="Cambria Math"/>
              </w:rPr>
              <m:t>σ</m:t>
            </m:r>
          </m:e>
          <m:sub>
            <m:r>
              <w:rPr>
                <w:rFonts w:ascii="Cambria Math" w:hAnsi="Cambria Math"/>
              </w:rPr>
              <m:t>g</m:t>
            </m:r>
          </m:sub>
        </m:sSub>
      </m:oMath>
      <w:r w:rsidRPr="00082ABC">
        <w:t xml:space="preserve"> is the discount factor for the government. By importing the value of </w:t>
      </w:r>
      <m:oMath>
        <m:sSub>
          <m:sSubPr>
            <m:ctrlPr>
              <w:rPr>
                <w:rFonts w:ascii="Cambria Math" w:hAnsi="Cambria Math"/>
                <w:lang w:val="en-AU" w:eastAsia="zh-CN"/>
              </w:rPr>
            </m:ctrlPr>
          </m:sSubPr>
          <m:e>
            <m:r>
              <w:rPr>
                <w:rFonts w:ascii="Cambria Math" w:hAnsi="Cambria Math"/>
              </w:rPr>
              <m:t>t</m:t>
            </m:r>
          </m:e>
          <m:sub>
            <m:r>
              <w:rPr>
                <w:rFonts w:ascii="Cambria Math" w:hAnsi="Cambria Math"/>
              </w:rPr>
              <m:t>c2</m:t>
            </m:r>
          </m:sub>
        </m:sSub>
      </m:oMath>
      <w:r w:rsidRPr="00082ABC">
        <w:t xml:space="preserve"> derived from the Eq. (</w:t>
      </w:r>
      <w:r w:rsidR="003A7800">
        <w:t>6</w:t>
      </w:r>
      <w:r w:rsidRPr="00082ABC">
        <w:t xml:space="preserve">), the value of </w:t>
      </w:r>
      <m:oMath>
        <m:sSub>
          <m:sSubPr>
            <m:ctrlPr>
              <w:rPr>
                <w:rFonts w:ascii="Cambria Math" w:hAnsi="Cambria Math"/>
                <w:lang w:val="en-AU" w:eastAsia="zh-CN"/>
              </w:rPr>
            </m:ctrlPr>
          </m:sSubPr>
          <m:e>
            <m:r>
              <w:rPr>
                <w:rFonts w:ascii="Cambria Math" w:hAnsi="Cambria Math"/>
              </w:rPr>
              <m:t>t</m:t>
            </m:r>
          </m:e>
          <m:sub>
            <m:r>
              <w:rPr>
                <w:rFonts w:ascii="Cambria Math" w:hAnsi="Cambria Math"/>
              </w:rPr>
              <m:t>c1</m:t>
            </m:r>
          </m:sub>
        </m:sSub>
      </m:oMath>
      <w:r w:rsidRPr="00082ABC">
        <w:t xml:space="preserve"> can be obtained. The optimal length of the concession period equals </w:t>
      </w:r>
      <m:oMath>
        <m:sSub>
          <m:sSubPr>
            <m:ctrlPr>
              <w:rPr>
                <w:rFonts w:ascii="Cambria Math" w:hAnsi="Cambria Math"/>
                <w:lang w:val="en-AU" w:eastAsia="zh-CN"/>
              </w:rPr>
            </m:ctrlPr>
          </m:sSubPr>
          <m:e>
            <m:r>
              <w:rPr>
                <w:rFonts w:ascii="Cambria Math" w:hAnsi="Cambria Math"/>
              </w:rPr>
              <m:t>t</m:t>
            </m:r>
          </m:e>
          <m:sub>
            <m:r>
              <w:rPr>
                <w:rFonts w:ascii="Cambria Math" w:hAnsi="Cambria Math"/>
              </w:rPr>
              <m:t>c1</m:t>
            </m:r>
          </m:sub>
        </m:sSub>
      </m:oMath>
      <w:r w:rsidRPr="00082ABC">
        <w:t xml:space="preserve"> as when the private investor propose </w:t>
      </w:r>
      <m:oMath>
        <m:sSub>
          <m:sSubPr>
            <m:ctrlPr>
              <w:rPr>
                <w:rFonts w:ascii="Cambria Math" w:hAnsi="Cambria Math"/>
                <w:lang w:val="en-AU" w:eastAsia="zh-CN"/>
              </w:rPr>
            </m:ctrlPr>
          </m:sSubPr>
          <m:e>
            <m:r>
              <w:rPr>
                <w:rFonts w:ascii="Cambria Math" w:hAnsi="Cambria Math"/>
              </w:rPr>
              <m:t>t</m:t>
            </m:r>
          </m:e>
          <m:sub>
            <m:r>
              <w:rPr>
                <w:rFonts w:ascii="Cambria Math" w:hAnsi="Cambria Math"/>
              </w:rPr>
              <m:t>c1</m:t>
            </m:r>
          </m:sub>
        </m:sSub>
      </m:oMath>
      <w:r w:rsidRPr="00082ABC">
        <w:t xml:space="preserve"> in the first stage, the bargaining game can reach its equilibrium point.</w:t>
      </w:r>
    </w:p>
    <w:p w:rsidR="00082ABC" w:rsidRPr="00082ABC" w:rsidRDefault="00082ABC" w:rsidP="00082ABC"/>
    <w:p w:rsidR="00082ABC" w:rsidRPr="00082ABC" w:rsidRDefault="00082ABC" w:rsidP="00082ABC">
      <w:r w:rsidRPr="00082ABC">
        <w:t>The optimal concession period is calculated at this stage. However, the forecast traffic volume can</w:t>
      </w:r>
      <w:r w:rsidRPr="00082ABC">
        <w:rPr>
          <w:rFonts w:hint="eastAsia"/>
        </w:rPr>
        <w:t xml:space="preserve"> show</w:t>
      </w:r>
      <w:r w:rsidRPr="00082ABC">
        <w:t xml:space="preserve"> various fluctuating trends in different simulation paths, so the optimal concession period based on our predicting path may </w:t>
      </w:r>
      <w:r w:rsidRPr="00082ABC">
        <w:rPr>
          <w:rFonts w:hint="eastAsia"/>
        </w:rPr>
        <w:t>fail</w:t>
      </w:r>
      <w:r w:rsidRPr="00082ABC">
        <w:t xml:space="preserve"> to </w:t>
      </w:r>
      <w:r w:rsidRPr="00082ABC">
        <w:rPr>
          <w:rFonts w:hint="eastAsia"/>
        </w:rPr>
        <w:t>con</w:t>
      </w:r>
      <w:r w:rsidRPr="00082ABC">
        <w:t>trol the risk of loss in other simulation paths. Thus, a risk verification model is designed to verify the ability of the optimal concession period for risk control.</w:t>
      </w:r>
    </w:p>
    <w:p w:rsidR="00082ABC" w:rsidRPr="00082ABC" w:rsidRDefault="00082ABC" w:rsidP="00082ABC">
      <w:r>
        <w:t xml:space="preserve"> </w:t>
      </w:r>
    </w:p>
    <w:p w:rsidR="00082ABC" w:rsidRDefault="00082ABC" w:rsidP="00082ABC">
      <w:pPr>
        <w:pStyle w:val="SectionSub-heading"/>
      </w:pPr>
      <w:r w:rsidRPr="00082ABC">
        <w:t>Risk verification model</w:t>
      </w:r>
    </w:p>
    <w:p w:rsidR="00082ABC" w:rsidRDefault="00082ABC" w:rsidP="00082ABC">
      <w:r w:rsidRPr="00082ABC">
        <w:t xml:space="preserve">Before proposing the risk verification model, it is important to understand the relationship between the length of the concession period and the probabilities of suffering risk events for the project parties. With </w:t>
      </w:r>
      <w:r w:rsidRPr="00082ABC">
        <w:rPr>
          <w:rFonts w:hint="eastAsia"/>
        </w:rPr>
        <w:t>an</w:t>
      </w:r>
      <w:r w:rsidRPr="00082ABC">
        <w:t xml:space="preserve"> increase in the </w:t>
      </w:r>
      <w:r w:rsidRPr="00082ABC">
        <w:rPr>
          <w:rFonts w:hint="eastAsia"/>
        </w:rPr>
        <w:t>length</w:t>
      </w:r>
      <w:r w:rsidRPr="00082ABC">
        <w:t xml:space="preserve"> of the concession period, the probability of suffering risk events for private investors is expected to decrease, since they have more time to earn money. However, for the governments the probability value shows the opposite trend. It can be seen from Figure 4 that </w:t>
      </w:r>
      <w:r w:rsidRPr="00082ABC">
        <w:rPr>
          <w:rFonts w:hint="eastAsia"/>
        </w:rPr>
        <w:t>if</w:t>
      </w:r>
      <w:r w:rsidRPr="00082ABC">
        <w:t xml:space="preserve"> the governments and private investors have high risk tolerance, there will be a new concession period interval produced based on their risk preferences. If the concession period determined before, i.e. </w:t>
      </w:r>
      <m:oMath>
        <m:sSub>
          <m:sSubPr>
            <m:ctrlPr>
              <w:rPr>
                <w:rFonts w:ascii="Cambria Math" w:hAnsi="Cambria Math"/>
                <w:lang w:val="en-AU" w:eastAsia="zh-CN"/>
              </w:rPr>
            </m:ctrlPr>
          </m:sSubPr>
          <m:e>
            <m:r>
              <w:rPr>
                <w:rFonts w:ascii="Cambria Math" w:hAnsi="Cambria Math"/>
              </w:rPr>
              <m:t>t</m:t>
            </m:r>
          </m:e>
          <m:sub>
            <m:r>
              <w:rPr>
                <w:rFonts w:ascii="Cambria Math" w:hAnsi="Cambria Math"/>
              </w:rPr>
              <m:t>opt</m:t>
            </m:r>
          </m:sub>
        </m:sSub>
      </m:oMath>
      <w:r w:rsidRPr="00082ABC">
        <w:t>, is located in the interval of [</w:t>
      </w:r>
      <m:oMath>
        <m:sSub>
          <m:sSubPr>
            <m:ctrlPr>
              <w:rPr>
                <w:rFonts w:ascii="Cambria Math" w:hAnsi="Cambria Math"/>
                <w:lang w:val="en-AU" w:eastAsia="zh-CN"/>
              </w:rPr>
            </m:ctrlPr>
          </m:sSubPr>
          <m:e>
            <m:r>
              <w:rPr>
                <w:rFonts w:ascii="Cambria Math" w:hAnsi="Cambria Math"/>
              </w:rPr>
              <m:t>t</m:t>
            </m:r>
          </m:e>
          <m:sub>
            <m:r>
              <w:rPr>
                <w:rFonts w:ascii="Cambria Math" w:hAnsi="Cambria Math"/>
              </w:rPr>
              <m:t>rmin</m:t>
            </m:r>
          </m:sub>
        </m:sSub>
      </m:oMath>
      <w:r w:rsidRPr="00082ABC">
        <w:t xml:space="preserve">, </w:t>
      </w:r>
      <m:oMath>
        <m:sSub>
          <m:sSubPr>
            <m:ctrlPr>
              <w:rPr>
                <w:rFonts w:ascii="Cambria Math" w:hAnsi="Cambria Math"/>
                <w:lang w:val="en-AU" w:eastAsia="zh-CN"/>
              </w:rPr>
            </m:ctrlPr>
          </m:sSubPr>
          <m:e>
            <m:r>
              <w:rPr>
                <w:rFonts w:ascii="Cambria Math" w:hAnsi="Cambria Math"/>
              </w:rPr>
              <m:t>t</m:t>
            </m:r>
          </m:e>
          <m:sub>
            <m:r>
              <w:rPr>
                <w:rFonts w:ascii="Cambria Math" w:hAnsi="Cambria Math"/>
              </w:rPr>
              <m:t>rmax</m:t>
            </m:r>
          </m:sub>
        </m:sSub>
      </m:oMath>
      <w:r w:rsidRPr="00082ABC">
        <w:t xml:space="preserve">], the effectiveness of the designed concession period in risk control can be shown. Otherwise, there will be only one party that can achieve the goal of controlling risk. Nevertheless, </w:t>
      </w:r>
      <w:r w:rsidRPr="00082ABC">
        <w:rPr>
          <w:rFonts w:hint="eastAsia"/>
        </w:rPr>
        <w:t>it</w:t>
      </w:r>
      <w:r w:rsidRPr="00082ABC">
        <w:t xml:space="preserve"> is also possible that both private investors and governments have low risk tolerance, e.g. the</w:t>
      </w:r>
      <w:r w:rsidRPr="00082ABC">
        <w:rPr>
          <w:rFonts w:hint="eastAsia"/>
        </w:rPr>
        <w:t>ir</w:t>
      </w:r>
      <w:r w:rsidRPr="00082ABC">
        <w:t xml:space="preserve"> risk tolerance caps are lower than the fair risk allocation point. In this case, a concession period interval based on the risk preferences cannot be produced</w:t>
      </w:r>
      <w:r w:rsidRPr="00082ABC">
        <w:rPr>
          <w:rFonts w:hint="eastAsia"/>
        </w:rPr>
        <w:t xml:space="preserve"> </w:t>
      </w:r>
      <w:r w:rsidRPr="00082ABC">
        <w:t>and the risk for both parties cannot be controlled through designing an optimal concession period.</w:t>
      </w:r>
    </w:p>
    <w:p w:rsidR="007D0E00" w:rsidRPr="007D0E00" w:rsidRDefault="007D0E00" w:rsidP="00EA043F">
      <w:pPr>
        <w:ind w:firstLineChars="850" w:firstLine="2040"/>
      </w:pPr>
      <w:r w:rsidRPr="00082ABC">
        <w:rPr>
          <w:noProof/>
        </w:rPr>
        <w:drawing>
          <wp:inline distT="0" distB="0" distL="0" distR="0" wp14:anchorId="45438B2C" wp14:editId="4B3EEBA7">
            <wp:extent cx="3457931" cy="303968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68783" cy="3049223"/>
                    </a:xfrm>
                    <a:prstGeom prst="rect">
                      <a:avLst/>
                    </a:prstGeom>
                  </pic:spPr>
                </pic:pic>
              </a:graphicData>
            </a:graphic>
          </wp:inline>
        </w:drawing>
      </w:r>
      <w:r w:rsidRPr="007D0E00">
        <w:t xml:space="preserve">  </w:t>
      </w:r>
    </w:p>
    <w:p w:rsidR="007D0E00" w:rsidRPr="007D0E00" w:rsidRDefault="007D0E00" w:rsidP="00EA043F">
      <w:pPr>
        <w:pStyle w:val="References"/>
        <w:ind w:leftChars="50" w:left="120" w:firstLineChars="900" w:firstLine="1980"/>
      </w:pPr>
      <w:r w:rsidRPr="00082ABC">
        <w:rPr>
          <w:rFonts w:hint="eastAsia"/>
        </w:rPr>
        <w:t>F</w:t>
      </w:r>
      <w:r w:rsidRPr="007D0E00">
        <w:t xml:space="preserve">ig. 4 Risk preference and the value of the concession period </w:t>
      </w:r>
    </w:p>
    <w:p w:rsidR="00082ABC" w:rsidRPr="00082ABC" w:rsidRDefault="00082ABC" w:rsidP="00082ABC">
      <w:r w:rsidRPr="00082ABC">
        <w:lastRenderedPageBreak/>
        <w:t xml:space="preserve">A </w:t>
      </w:r>
      <w:r w:rsidRPr="00082ABC">
        <w:rPr>
          <w:rFonts w:hint="eastAsia"/>
        </w:rPr>
        <w:t>r</w:t>
      </w:r>
      <w:r w:rsidRPr="00082ABC">
        <w:t>isk verification model, which carries out 1000</w:t>
      </w:r>
      <w:r w:rsidRPr="00082ABC">
        <w:rPr>
          <w:rFonts w:hint="eastAsia"/>
        </w:rPr>
        <w:t xml:space="preserve"> times</w:t>
      </w:r>
      <w:r w:rsidRPr="00082ABC">
        <w:t xml:space="preserve"> path simulation, is proposed to verify the effectiveness of the determined concession period in risk control for other simulation paths. By assuming the distribution of the uncertain variables, i.e. GBM in this research, the probability of risk occurrence can be calculated. Then the revenue path over the whole project lifetime can be generated to calculate the occurrence rate of risk events of the 1000 times simulation path for private investors in the designed concession period and for governments in the post-transfer stage. The possibility of suffering risk events for both parties should not exceed their risk acceptance caps. The risk verification function is shown below:</w:t>
      </w:r>
    </w:p>
    <w:bookmarkStart w:id="2" w:name="OLE_LINK13"/>
    <w:bookmarkStart w:id="3" w:name="OLE_LINK14"/>
    <w:bookmarkStart w:id="4" w:name="OLE_LINK15"/>
    <w:p w:rsidR="00082ABC" w:rsidRPr="00082ABC" w:rsidRDefault="003375FF" w:rsidP="00082ABC">
      <m:oMath>
        <m:d>
          <m:dPr>
            <m:begChr m:val="{"/>
            <m:endChr m:val=""/>
            <m:ctrlPr>
              <w:rPr>
                <w:rFonts w:ascii="Cambria Math" w:hAnsi="Cambria Math"/>
                <w:lang w:val="en-AU" w:eastAsia="zh-CN"/>
              </w:rPr>
            </m:ctrlPr>
          </m:dPr>
          <m:e>
            <m:d>
              <m:dPr>
                <m:begChr m:val=""/>
                <m:endChr m:val=""/>
                <m:ctrlPr>
                  <w:rPr>
                    <w:rFonts w:ascii="Cambria Math" w:hAnsi="Cambria Math"/>
                    <w:lang w:val="en-AU" w:eastAsia="zh-CN"/>
                  </w:rPr>
                </m:ctrlPr>
              </m:dPr>
              <m:e>
                <m:eqArr>
                  <m:eqArrPr>
                    <m:ctrlPr>
                      <w:rPr>
                        <w:rFonts w:ascii="Cambria Math" w:hAnsi="Cambria Math"/>
                        <w:lang w:val="en-AU" w:eastAsia="zh-CN"/>
                      </w:rPr>
                    </m:ctrlPr>
                  </m:eqArrPr>
                  <m:e>
                    <m:r>
                      <w:rPr>
                        <w:rFonts w:ascii="Cambria Math" w:hAnsi="Cambria Math"/>
                      </w:rPr>
                      <m:t>P</m:t>
                    </m:r>
                    <m:d>
                      <m:dPr>
                        <m:begChr m:val="["/>
                        <m:endChr m:val="]"/>
                        <m:ctrlPr>
                          <w:rPr>
                            <w:rFonts w:ascii="Cambria Math" w:hAnsi="Cambria Math"/>
                            <w:lang w:val="en-AU" w:eastAsia="zh-CN"/>
                          </w:rPr>
                        </m:ctrlPr>
                      </m:dPr>
                      <m:e>
                        <m:r>
                          <w:rPr>
                            <w:rFonts w:ascii="Cambria Math" w:hAnsi="Cambria Math"/>
                          </w:rPr>
                          <m:t>ENPV(</m:t>
                        </m:r>
                        <m:sSub>
                          <m:sSubPr>
                            <m:ctrlPr>
                              <w:rPr>
                                <w:rFonts w:ascii="Cambria Math" w:hAnsi="Cambria Math"/>
                                <w:lang w:val="en-AU" w:eastAsia="zh-CN"/>
                              </w:rPr>
                            </m:ctrlPr>
                          </m:sSubPr>
                          <m:e>
                            <m:r>
                              <w:rPr>
                                <w:rFonts w:ascii="Cambria Math" w:hAnsi="Cambria Math"/>
                              </w:rPr>
                              <m:t>t</m:t>
                            </m:r>
                          </m:e>
                          <m:sub>
                            <m:r>
                              <w:rPr>
                                <w:rFonts w:ascii="Cambria Math" w:hAnsi="Cambria Math"/>
                              </w:rPr>
                              <m:t>opt</m:t>
                            </m:r>
                          </m:sub>
                        </m:sSub>
                        <m:r>
                          <w:rPr>
                            <w:rFonts w:ascii="Cambria Math" w:hAnsi="Cambria Math"/>
                          </w:rPr>
                          <m:t>)&lt;</m:t>
                        </m:r>
                        <m:d>
                          <m:dPr>
                            <m:ctrlPr>
                              <w:rPr>
                                <w:rFonts w:ascii="Cambria Math" w:hAnsi="Cambria Math"/>
                                <w:lang w:val="en-AU" w:eastAsia="zh-CN"/>
                              </w:rPr>
                            </m:ctrlPr>
                          </m:dPr>
                          <m:e>
                            <m:sSub>
                              <m:sSubPr>
                                <m:ctrlPr>
                                  <w:rPr>
                                    <w:rFonts w:ascii="Cambria Math" w:hAnsi="Cambria Math"/>
                                    <w:lang w:val="en-AU" w:eastAsia="zh-CN"/>
                                  </w:rPr>
                                </m:ctrlPr>
                              </m:sSubPr>
                              <m:e>
                                <m:r>
                                  <w:rPr>
                                    <w:rFonts w:ascii="Cambria Math" w:hAnsi="Cambria Math"/>
                                  </w:rPr>
                                  <m:t>I</m:t>
                                </m:r>
                              </m:e>
                              <m:sub>
                                <m:r>
                                  <w:rPr>
                                    <w:rFonts w:ascii="Cambria Math" w:hAnsi="Cambria Math"/>
                                  </w:rPr>
                                  <m:t>c</m:t>
                                </m:r>
                              </m:sub>
                            </m:sSub>
                            <m:r>
                              <w:rPr>
                                <w:rFonts w:ascii="Cambria Math" w:hAnsi="Cambria Math"/>
                              </w:rPr>
                              <m:t>+</m:t>
                            </m:r>
                            <m:sSub>
                              <m:sSubPr>
                                <m:ctrlPr>
                                  <w:rPr>
                                    <w:rFonts w:ascii="Cambria Math" w:hAnsi="Cambria Math"/>
                                    <w:lang w:val="en-AU" w:eastAsia="zh-CN"/>
                                  </w:rPr>
                                </m:ctrlPr>
                              </m:sSubPr>
                              <m:e>
                                <m:r>
                                  <w:rPr>
                                    <w:rFonts w:ascii="Cambria Math" w:hAnsi="Cambria Math"/>
                                  </w:rPr>
                                  <m:t>I</m:t>
                                </m:r>
                              </m:e>
                              <m:sub>
                                <m:r>
                                  <w:rPr>
                                    <w:rFonts w:ascii="Cambria Math" w:hAnsi="Cambria Math"/>
                                  </w:rPr>
                                  <m:t>i</m:t>
                                </m:r>
                              </m:sub>
                            </m:sSub>
                          </m:e>
                        </m:d>
                        <m:r>
                          <w:rPr>
                            <w:rFonts w:ascii="Cambria Math" w:hAnsi="Cambria Math"/>
                          </w:rPr>
                          <m:t>×</m:t>
                        </m:r>
                        <m:sSub>
                          <m:sSubPr>
                            <m:ctrlPr>
                              <w:rPr>
                                <w:rFonts w:ascii="Cambria Math" w:hAnsi="Cambria Math"/>
                                <w:lang w:val="en-AU" w:eastAsia="zh-CN"/>
                              </w:rPr>
                            </m:ctrlPr>
                          </m:sSubPr>
                          <m:e>
                            <m:r>
                              <w:rPr>
                                <w:rFonts w:ascii="Cambria Math" w:hAnsi="Cambria Math"/>
                              </w:rPr>
                              <m:t>ROI</m:t>
                            </m:r>
                          </m:e>
                          <m:sub>
                            <m:r>
                              <w:rPr>
                                <w:rFonts w:ascii="Cambria Math" w:hAnsi="Cambria Math"/>
                              </w:rPr>
                              <m:t>min</m:t>
                            </m:r>
                          </m:sub>
                        </m:sSub>
                      </m:e>
                    </m:d>
                    <m:r>
                      <w:rPr>
                        <w:rFonts w:ascii="Cambria Math" w:hAnsi="Cambria Math"/>
                      </w:rPr>
                      <m:t>≤RAc</m:t>
                    </m:r>
                  </m:e>
                  <m:e>
                    <m:r>
                      <w:rPr>
                        <w:rFonts w:ascii="Cambria Math" w:hAnsi="Cambria Math"/>
                      </w:rPr>
                      <m:t>P</m:t>
                    </m:r>
                    <m:d>
                      <m:dPr>
                        <m:begChr m:val=""/>
                        <m:endChr m:val=""/>
                        <m:ctrlPr>
                          <w:rPr>
                            <w:rFonts w:ascii="Cambria Math" w:hAnsi="Cambria Math"/>
                            <w:lang w:val="en-AU" w:eastAsia="zh-CN"/>
                          </w:rPr>
                        </m:ctrlPr>
                      </m:dPr>
                      <m:e>
                        <m:r>
                          <w:rPr>
                            <w:rFonts w:ascii="Cambria Math" w:hAnsi="Cambria Math"/>
                          </w:rPr>
                          <m:t>[</m:t>
                        </m:r>
                        <m:sSub>
                          <m:sSubPr>
                            <m:ctrlPr>
                              <w:rPr>
                                <w:rFonts w:ascii="Cambria Math" w:hAnsi="Cambria Math"/>
                                <w:lang w:val="en-AU" w:eastAsia="zh-CN"/>
                              </w:rPr>
                            </m:ctrlPr>
                          </m:sSubPr>
                          <m:e>
                            <m:r>
                              <w:rPr>
                                <w:rFonts w:ascii="Cambria Math" w:hAnsi="Cambria Math"/>
                              </w:rPr>
                              <m:t>NPV</m:t>
                            </m:r>
                          </m:e>
                          <m:sub>
                            <m:r>
                              <w:rPr>
                                <w:rFonts w:ascii="Cambria Math" w:hAnsi="Cambria Math"/>
                              </w:rPr>
                              <m:t>g</m:t>
                            </m:r>
                          </m:sub>
                        </m:sSub>
                        <m:r>
                          <w:rPr>
                            <w:rFonts w:ascii="Cambria Math" w:hAnsi="Cambria Math"/>
                          </w:rPr>
                          <m:t>(</m:t>
                        </m:r>
                        <m:sSub>
                          <m:sSubPr>
                            <m:ctrlPr>
                              <w:rPr>
                                <w:rFonts w:ascii="Cambria Math" w:hAnsi="Cambria Math"/>
                                <w:lang w:val="en-AU" w:eastAsia="zh-CN"/>
                              </w:rPr>
                            </m:ctrlPr>
                          </m:sSubPr>
                          <m:e>
                            <m:r>
                              <w:rPr>
                                <w:rFonts w:ascii="Cambria Math" w:hAnsi="Cambria Math"/>
                              </w:rPr>
                              <m:t>t</m:t>
                            </m:r>
                          </m:e>
                          <m:sub>
                            <m:r>
                              <w:rPr>
                                <w:rFonts w:ascii="Cambria Math" w:hAnsi="Cambria Math"/>
                              </w:rPr>
                              <m:t>opt</m:t>
                            </m:r>
                          </m:sub>
                        </m:sSub>
                        <m:r>
                          <w:rPr>
                            <w:rFonts w:ascii="Cambria Math" w:hAnsi="Cambria Math"/>
                          </w:rPr>
                          <m:t>)&lt;0]</m:t>
                        </m:r>
                      </m:e>
                    </m:d>
                    <m:r>
                      <w:rPr>
                        <w:rFonts w:ascii="Cambria Math" w:hAnsi="Cambria Math"/>
                      </w:rPr>
                      <m:t>≤RAg</m:t>
                    </m:r>
                  </m:e>
                </m:eqArr>
              </m:e>
            </m:d>
          </m:e>
        </m:d>
      </m:oMath>
      <w:r w:rsidR="00082ABC" w:rsidRPr="00082ABC">
        <w:t xml:space="preserve"> (</w:t>
      </w:r>
      <w:r w:rsidR="003A7800">
        <w:t>8</w:t>
      </w:r>
      <w:r w:rsidR="00082ABC" w:rsidRPr="00082ABC">
        <w:t>)</w:t>
      </w:r>
    </w:p>
    <w:p w:rsidR="00082ABC" w:rsidRPr="00082ABC" w:rsidRDefault="00082ABC" w:rsidP="00082ABC">
      <w:bookmarkStart w:id="5" w:name="_GoBack"/>
      <w:r w:rsidRPr="00082ABC">
        <w:t>where</w:t>
      </w:r>
    </w:p>
    <w:p w:rsidR="00082ABC" w:rsidRPr="00082ABC" w:rsidRDefault="00082ABC" w:rsidP="00082ABC">
      <m:oMathPara>
        <m:oMathParaPr>
          <m:jc m:val="left"/>
        </m:oMathParaPr>
        <m:oMath>
          <m:r>
            <w:rPr>
              <w:rFonts w:ascii="Cambria Math" w:hAnsi="Cambria Math"/>
            </w:rPr>
            <m:t>P</m:t>
          </m:r>
          <m:d>
            <m:dPr>
              <m:begChr m:val="["/>
              <m:endChr m:val="]"/>
              <m:ctrlPr>
                <w:rPr>
                  <w:rFonts w:ascii="Cambria Math" w:hAnsi="Cambria Math"/>
                  <w:lang w:val="en-AU" w:eastAsia="zh-CN"/>
                </w:rPr>
              </m:ctrlPr>
            </m:dPr>
            <m:e>
              <m:r>
                <w:rPr>
                  <w:rFonts w:ascii="Cambria Math" w:hAnsi="Cambria Math"/>
                </w:rPr>
                <m:t>ENPV(</m:t>
              </m:r>
              <m:sSub>
                <m:sSubPr>
                  <m:ctrlPr>
                    <w:rPr>
                      <w:rFonts w:ascii="Cambria Math" w:hAnsi="Cambria Math"/>
                      <w:lang w:val="en-AU" w:eastAsia="zh-CN"/>
                    </w:rPr>
                  </m:ctrlPr>
                </m:sSubPr>
                <m:e>
                  <m:r>
                    <w:rPr>
                      <w:rFonts w:ascii="Cambria Math" w:hAnsi="Cambria Math"/>
                    </w:rPr>
                    <m:t>t</m:t>
                  </m:r>
                </m:e>
                <m:sub>
                  <m:r>
                    <w:rPr>
                      <w:rFonts w:ascii="Cambria Math" w:hAnsi="Cambria Math"/>
                    </w:rPr>
                    <m:t>opt</m:t>
                  </m:r>
                </m:sub>
              </m:sSub>
              <m:r>
                <w:rPr>
                  <w:rFonts w:ascii="Cambria Math" w:hAnsi="Cambria Math"/>
                </w:rPr>
                <m:t>)&lt;</m:t>
              </m:r>
              <m:d>
                <m:dPr>
                  <m:ctrlPr>
                    <w:rPr>
                      <w:rFonts w:ascii="Cambria Math" w:hAnsi="Cambria Math"/>
                      <w:lang w:val="en-AU" w:eastAsia="zh-CN"/>
                    </w:rPr>
                  </m:ctrlPr>
                </m:dPr>
                <m:e>
                  <m:sSub>
                    <m:sSubPr>
                      <m:ctrlPr>
                        <w:rPr>
                          <w:rFonts w:ascii="Cambria Math" w:hAnsi="Cambria Math"/>
                          <w:lang w:val="en-AU" w:eastAsia="zh-CN"/>
                        </w:rPr>
                      </m:ctrlPr>
                    </m:sSubPr>
                    <m:e>
                      <m:r>
                        <w:rPr>
                          <w:rFonts w:ascii="Cambria Math" w:hAnsi="Cambria Math"/>
                        </w:rPr>
                        <m:t>I</m:t>
                      </m:r>
                    </m:e>
                    <m:sub>
                      <m:r>
                        <w:rPr>
                          <w:rFonts w:ascii="Cambria Math" w:hAnsi="Cambria Math"/>
                        </w:rPr>
                        <m:t>c</m:t>
                      </m:r>
                    </m:sub>
                  </m:sSub>
                  <m:r>
                    <w:rPr>
                      <w:rFonts w:ascii="Cambria Math" w:hAnsi="Cambria Math"/>
                    </w:rPr>
                    <m:t>+</m:t>
                  </m:r>
                  <m:sSub>
                    <m:sSubPr>
                      <m:ctrlPr>
                        <w:rPr>
                          <w:rFonts w:ascii="Cambria Math" w:hAnsi="Cambria Math"/>
                          <w:lang w:val="en-AU" w:eastAsia="zh-CN"/>
                        </w:rPr>
                      </m:ctrlPr>
                    </m:sSubPr>
                    <m:e>
                      <m:r>
                        <w:rPr>
                          <w:rFonts w:ascii="Cambria Math" w:hAnsi="Cambria Math"/>
                        </w:rPr>
                        <m:t>I</m:t>
                      </m:r>
                    </m:e>
                    <m:sub>
                      <m:r>
                        <w:rPr>
                          <w:rFonts w:ascii="Cambria Math" w:hAnsi="Cambria Math"/>
                        </w:rPr>
                        <m:t>i</m:t>
                      </m:r>
                    </m:sub>
                  </m:sSub>
                </m:e>
              </m:d>
              <m:r>
                <w:rPr>
                  <w:rFonts w:ascii="Cambria Math" w:hAnsi="Cambria Math"/>
                </w:rPr>
                <m:t>×</m:t>
              </m:r>
              <m:sSub>
                <m:sSubPr>
                  <m:ctrlPr>
                    <w:rPr>
                      <w:rFonts w:ascii="Cambria Math" w:hAnsi="Cambria Math"/>
                      <w:lang w:val="en-AU" w:eastAsia="zh-CN"/>
                    </w:rPr>
                  </m:ctrlPr>
                </m:sSubPr>
                <m:e>
                  <m:r>
                    <w:rPr>
                      <w:rFonts w:ascii="Cambria Math" w:hAnsi="Cambria Math"/>
                    </w:rPr>
                    <m:t>ROI</m:t>
                  </m:r>
                </m:e>
                <m:sub>
                  <m:r>
                    <w:rPr>
                      <w:rFonts w:ascii="Cambria Math" w:hAnsi="Cambria Math"/>
                    </w:rPr>
                    <m:t>min</m:t>
                  </m:r>
                </m:sub>
              </m:sSub>
            </m:e>
          </m:d>
          <m:r>
            <w:rPr>
              <w:rFonts w:ascii="Cambria Math" w:hAnsi="Cambria Math"/>
            </w:rPr>
            <m:t>=</m:t>
          </m:r>
          <m:f>
            <m:fPr>
              <m:ctrlPr>
                <w:rPr>
                  <w:rFonts w:ascii="Cambria Math" w:hAnsi="Cambria Math"/>
                  <w:lang w:val="en-AU" w:eastAsia="zh-CN"/>
                </w:rPr>
              </m:ctrlPr>
            </m:fPr>
            <m:num>
              <m:r>
                <w:rPr>
                  <w:rFonts w:ascii="Cambria Math" w:hAnsi="Cambria Math"/>
                </w:rPr>
                <m:t>countif</m:t>
              </m:r>
              <m:sSubSup>
                <m:sSubSupPr>
                  <m:ctrlPr>
                    <w:rPr>
                      <w:rFonts w:ascii="Cambria Math" w:hAnsi="Cambria Math"/>
                      <w:lang w:val="en-AU" w:eastAsia="zh-CN"/>
                    </w:rPr>
                  </m:ctrlPr>
                </m:sSubSupPr>
                <m:e>
                  <m:r>
                    <w:rPr>
                      <w:rFonts w:ascii="Cambria Math" w:hAnsi="Cambria Math"/>
                    </w:rPr>
                    <m:t>[ENPV</m:t>
                  </m:r>
                </m:e>
                <m:sub>
                  <m:r>
                    <w:rPr>
                      <w:rFonts w:ascii="Cambria Math" w:hAnsi="Cambria Math"/>
                    </w:rPr>
                    <m:t>i</m:t>
                  </m:r>
                </m:sub>
                <m:sup>
                  <m:r>
                    <w:rPr>
                      <w:rFonts w:ascii="Cambria Math" w:hAnsi="Cambria Math"/>
                    </w:rPr>
                    <m:t>m</m:t>
                  </m:r>
                </m:sup>
              </m:sSubSup>
              <m:r>
                <w:rPr>
                  <w:rFonts w:ascii="Cambria Math" w:hAnsi="Cambria Math"/>
                </w:rPr>
                <m:t>(</m:t>
              </m:r>
              <m:sSub>
                <m:sSubPr>
                  <m:ctrlPr>
                    <w:rPr>
                      <w:rFonts w:ascii="Cambria Math" w:hAnsi="Cambria Math"/>
                      <w:lang w:val="en-AU" w:eastAsia="zh-CN"/>
                    </w:rPr>
                  </m:ctrlPr>
                </m:sSubPr>
                <m:e>
                  <m:r>
                    <w:rPr>
                      <w:rFonts w:ascii="Cambria Math" w:hAnsi="Cambria Math"/>
                    </w:rPr>
                    <m:t>t</m:t>
                  </m:r>
                </m:e>
                <m:sub>
                  <m:r>
                    <w:rPr>
                      <w:rFonts w:ascii="Cambria Math" w:hAnsi="Cambria Math"/>
                    </w:rPr>
                    <m:t>opt</m:t>
                  </m:r>
                </m:sub>
              </m:sSub>
              <m:r>
                <w:rPr>
                  <w:rFonts w:ascii="Cambria Math" w:hAnsi="Cambria Math"/>
                </w:rPr>
                <m:t>)&lt;</m:t>
              </m:r>
              <m:d>
                <m:dPr>
                  <m:ctrlPr>
                    <w:rPr>
                      <w:rFonts w:ascii="Cambria Math" w:hAnsi="Cambria Math"/>
                      <w:lang w:val="en-AU" w:eastAsia="zh-CN"/>
                    </w:rPr>
                  </m:ctrlPr>
                </m:dPr>
                <m:e>
                  <m:sSub>
                    <m:sSubPr>
                      <m:ctrlPr>
                        <w:rPr>
                          <w:rFonts w:ascii="Cambria Math" w:hAnsi="Cambria Math"/>
                          <w:lang w:val="en-AU" w:eastAsia="zh-CN"/>
                        </w:rPr>
                      </m:ctrlPr>
                    </m:sSubPr>
                    <m:e>
                      <m:r>
                        <w:rPr>
                          <w:rFonts w:ascii="Cambria Math" w:hAnsi="Cambria Math"/>
                        </w:rPr>
                        <m:t>I</m:t>
                      </m:r>
                    </m:e>
                    <m:sub>
                      <m:r>
                        <w:rPr>
                          <w:rFonts w:ascii="Cambria Math" w:hAnsi="Cambria Math"/>
                        </w:rPr>
                        <m:t>c</m:t>
                      </m:r>
                    </m:sub>
                  </m:sSub>
                  <m:r>
                    <w:rPr>
                      <w:rFonts w:ascii="Cambria Math" w:hAnsi="Cambria Math"/>
                    </w:rPr>
                    <m:t>+</m:t>
                  </m:r>
                  <m:sSub>
                    <m:sSubPr>
                      <m:ctrlPr>
                        <w:rPr>
                          <w:rFonts w:ascii="Cambria Math" w:hAnsi="Cambria Math"/>
                          <w:lang w:val="en-AU" w:eastAsia="zh-CN"/>
                        </w:rPr>
                      </m:ctrlPr>
                    </m:sSubPr>
                    <m:e>
                      <m:r>
                        <w:rPr>
                          <w:rFonts w:ascii="Cambria Math" w:hAnsi="Cambria Math"/>
                        </w:rPr>
                        <m:t>I</m:t>
                      </m:r>
                    </m:e>
                    <m:sub>
                      <m:r>
                        <w:rPr>
                          <w:rFonts w:ascii="Cambria Math" w:hAnsi="Cambria Math"/>
                        </w:rPr>
                        <m:t>i</m:t>
                      </m:r>
                    </m:sub>
                  </m:sSub>
                </m:e>
              </m:d>
              <m:r>
                <w:rPr>
                  <w:rFonts w:ascii="Cambria Math" w:hAnsi="Cambria Math"/>
                </w:rPr>
                <m:t>×</m:t>
              </m:r>
              <m:sSub>
                <m:sSubPr>
                  <m:ctrlPr>
                    <w:rPr>
                      <w:rFonts w:ascii="Cambria Math" w:hAnsi="Cambria Math"/>
                      <w:lang w:val="en-AU" w:eastAsia="zh-CN"/>
                    </w:rPr>
                  </m:ctrlPr>
                </m:sSubPr>
                <m:e>
                  <m:r>
                    <w:rPr>
                      <w:rFonts w:ascii="Cambria Math" w:hAnsi="Cambria Math"/>
                    </w:rPr>
                    <m:t>ROI</m:t>
                  </m:r>
                </m:e>
                <m:sub>
                  <m:r>
                    <w:rPr>
                      <w:rFonts w:ascii="Cambria Math" w:hAnsi="Cambria Math"/>
                    </w:rPr>
                    <m:t>min</m:t>
                  </m:r>
                </m:sub>
              </m:sSub>
              <m:r>
                <w:rPr>
                  <w:rFonts w:ascii="Cambria Math" w:hAnsi="Cambria Math"/>
                </w:rPr>
                <m:t>]</m:t>
              </m:r>
            </m:num>
            <m:den>
              <m:r>
                <w:rPr>
                  <w:rFonts w:ascii="Cambria Math" w:hAnsi="Cambria Math"/>
                </w:rPr>
                <m:t>m</m:t>
              </m:r>
            </m:den>
          </m:f>
          <m:r>
            <w:rPr>
              <w:rFonts w:ascii="Cambria Math" w:hAnsi="Cambria Math"/>
            </w:rPr>
            <m:t xml:space="preserve">   i=1⋯m ;</m:t>
          </m:r>
        </m:oMath>
      </m:oMathPara>
    </w:p>
    <w:p w:rsidR="00082ABC" w:rsidRPr="00082ABC" w:rsidRDefault="00082ABC" w:rsidP="00082ABC">
      <m:oMathPara>
        <m:oMathParaPr>
          <m:jc m:val="left"/>
        </m:oMathParaPr>
        <m:oMath>
          <m:r>
            <w:rPr>
              <w:rFonts w:ascii="Cambria Math" w:hAnsi="Cambria Math"/>
            </w:rPr>
            <m:t>P[</m:t>
          </m:r>
          <m:sSub>
            <m:sSubPr>
              <m:ctrlPr>
                <w:rPr>
                  <w:rFonts w:ascii="Cambria Math" w:hAnsi="Cambria Math"/>
                  <w:lang w:val="en-AU" w:eastAsia="zh-CN"/>
                </w:rPr>
              </m:ctrlPr>
            </m:sSubPr>
            <m:e>
              <m:r>
                <w:rPr>
                  <w:rFonts w:ascii="Cambria Math" w:hAnsi="Cambria Math"/>
                </w:rPr>
                <m:t>NPV</m:t>
              </m:r>
            </m:e>
            <m:sub>
              <m:r>
                <w:rPr>
                  <w:rFonts w:ascii="Cambria Math" w:hAnsi="Cambria Math"/>
                </w:rPr>
                <m:t>g</m:t>
              </m:r>
            </m:sub>
          </m:sSub>
          <m:r>
            <w:rPr>
              <w:rFonts w:ascii="Cambria Math" w:hAnsi="Cambria Math"/>
            </w:rPr>
            <m:t>(</m:t>
          </m:r>
          <m:sSub>
            <m:sSubPr>
              <m:ctrlPr>
                <w:rPr>
                  <w:rFonts w:ascii="Cambria Math" w:hAnsi="Cambria Math"/>
                  <w:lang w:val="en-AU" w:eastAsia="zh-CN"/>
                </w:rPr>
              </m:ctrlPr>
            </m:sSubPr>
            <m:e>
              <m:r>
                <w:rPr>
                  <w:rFonts w:ascii="Cambria Math" w:hAnsi="Cambria Math"/>
                </w:rPr>
                <m:t>t</m:t>
              </m:r>
            </m:e>
            <m:sub>
              <m:r>
                <w:rPr>
                  <w:rFonts w:ascii="Cambria Math" w:hAnsi="Cambria Math"/>
                </w:rPr>
                <m:t>opt</m:t>
              </m:r>
            </m:sub>
          </m:sSub>
          <m:r>
            <w:rPr>
              <w:rFonts w:ascii="Cambria Math" w:hAnsi="Cambria Math"/>
            </w:rPr>
            <m:t>)&lt;0]=</m:t>
          </m:r>
          <m:f>
            <m:fPr>
              <m:ctrlPr>
                <w:rPr>
                  <w:rFonts w:ascii="Cambria Math" w:hAnsi="Cambria Math"/>
                  <w:lang w:val="en-AU" w:eastAsia="zh-CN"/>
                </w:rPr>
              </m:ctrlPr>
            </m:fPr>
            <m:num>
              <m:r>
                <w:rPr>
                  <w:rFonts w:ascii="Cambria Math" w:hAnsi="Cambria Math"/>
                </w:rPr>
                <m:t>countif</m:t>
              </m:r>
              <m:sSubSup>
                <m:sSubSupPr>
                  <m:ctrlPr>
                    <w:rPr>
                      <w:rFonts w:ascii="Cambria Math" w:hAnsi="Cambria Math"/>
                      <w:lang w:val="en-AU" w:eastAsia="zh-CN"/>
                    </w:rPr>
                  </m:ctrlPr>
                </m:sSubSupPr>
                <m:e>
                  <m:r>
                    <w:rPr>
                      <w:rFonts w:ascii="Cambria Math" w:hAnsi="Cambria Math"/>
                    </w:rPr>
                    <m:t>[NPVg</m:t>
                  </m:r>
                </m:e>
                <m:sub>
                  <m:r>
                    <w:rPr>
                      <w:rFonts w:ascii="Cambria Math" w:hAnsi="Cambria Math"/>
                    </w:rPr>
                    <m:t>i</m:t>
                  </m:r>
                </m:sub>
                <m:sup>
                  <m:r>
                    <w:rPr>
                      <w:rFonts w:ascii="Cambria Math" w:hAnsi="Cambria Math"/>
                    </w:rPr>
                    <m:t>m</m:t>
                  </m:r>
                </m:sup>
              </m:sSubSup>
              <m:r>
                <w:rPr>
                  <w:rFonts w:ascii="Cambria Math" w:hAnsi="Cambria Math"/>
                </w:rPr>
                <m:t>(n-</m:t>
              </m:r>
              <m:sSub>
                <m:sSubPr>
                  <m:ctrlPr>
                    <w:rPr>
                      <w:rFonts w:ascii="Cambria Math" w:hAnsi="Cambria Math"/>
                      <w:lang w:val="en-AU" w:eastAsia="zh-CN"/>
                    </w:rPr>
                  </m:ctrlPr>
                </m:sSubPr>
                <m:e>
                  <m:r>
                    <w:rPr>
                      <w:rFonts w:ascii="Cambria Math" w:hAnsi="Cambria Math"/>
                    </w:rPr>
                    <m:t>t</m:t>
                  </m:r>
                </m:e>
                <m:sub>
                  <m:r>
                    <w:rPr>
                      <w:rFonts w:ascii="Cambria Math" w:hAnsi="Cambria Math"/>
                    </w:rPr>
                    <m:t>opt</m:t>
                  </m:r>
                </m:sub>
              </m:sSub>
              <m:r>
                <w:rPr>
                  <w:rFonts w:ascii="Cambria Math" w:hAnsi="Cambria Math"/>
                </w:rPr>
                <m:t>)&lt;0]</m:t>
              </m:r>
            </m:num>
            <m:den>
              <m:r>
                <w:rPr>
                  <w:rFonts w:ascii="Cambria Math" w:hAnsi="Cambria Math"/>
                </w:rPr>
                <m:t>m</m:t>
              </m:r>
            </m:den>
          </m:f>
          <m:r>
            <w:rPr>
              <w:rFonts w:ascii="Cambria Math" w:hAnsi="Cambria Math"/>
            </w:rPr>
            <m:t xml:space="preserve">     i=1⋯m .</m:t>
          </m:r>
        </m:oMath>
      </m:oMathPara>
    </w:p>
    <w:bookmarkEnd w:id="2"/>
    <w:bookmarkEnd w:id="3"/>
    <w:bookmarkEnd w:id="4"/>
    <w:bookmarkEnd w:id="5"/>
    <w:p w:rsidR="00082ABC" w:rsidRDefault="00082ABC" w:rsidP="00082ABC">
      <m:oMath>
        <m:r>
          <w:rPr>
            <w:rFonts w:ascii="Cambria Math" w:hAnsi="Cambria Math"/>
          </w:rPr>
          <m:t>RAc</m:t>
        </m:r>
      </m:oMath>
      <w:r w:rsidRPr="00082ABC">
        <w:t xml:space="preserve"> and </w:t>
      </w:r>
      <m:oMath>
        <m:r>
          <w:rPr>
            <w:rFonts w:ascii="Cambria Math" w:hAnsi="Cambria Math"/>
          </w:rPr>
          <m:t>RAg</m:t>
        </m:r>
      </m:oMath>
      <w:r w:rsidRPr="00082ABC">
        <w:t xml:space="preserve"> are the risk acceptance caps for private investors and governments respectively. </w:t>
      </w:r>
      <m:oMath>
        <m:r>
          <w:rPr>
            <w:rFonts w:ascii="Cambria Math" w:hAnsi="Cambria Math"/>
          </w:rPr>
          <m:t>m</m:t>
        </m:r>
      </m:oMath>
      <w:r w:rsidRPr="00082ABC">
        <w:t xml:space="preserve"> is the number of simulation times, which is 1000 in this research.</w:t>
      </w:r>
      <m:oMath>
        <m:r>
          <w:rPr>
            <w:rFonts w:ascii="Cambria Math" w:hAnsi="Cambria Math"/>
          </w:rPr>
          <m:t xml:space="preserve"> i</m:t>
        </m:r>
      </m:oMath>
      <w:r w:rsidRPr="00082ABC">
        <w:t xml:space="preserve"> indicates the sequence of the simulated GBM path. The value of </w:t>
      </w:r>
      <m:oMath>
        <m:r>
          <w:rPr>
            <w:rFonts w:ascii="Cambria Math" w:hAnsi="Cambria Math"/>
          </w:rPr>
          <m:t xml:space="preserve"> </m:t>
        </m:r>
        <m:sSub>
          <m:sSubPr>
            <m:ctrlPr>
              <w:rPr>
                <w:rFonts w:ascii="Cambria Math" w:hAnsi="Cambria Math"/>
                <w:lang w:val="en-AU" w:eastAsia="zh-CN"/>
              </w:rPr>
            </m:ctrlPr>
          </m:sSubPr>
          <m:e>
            <m:r>
              <w:rPr>
                <w:rFonts w:ascii="Cambria Math" w:hAnsi="Cambria Math"/>
              </w:rPr>
              <m:t>t</m:t>
            </m:r>
          </m:e>
          <m:sub>
            <m:r>
              <w:rPr>
                <w:rFonts w:ascii="Cambria Math" w:hAnsi="Cambria Math"/>
              </w:rPr>
              <m:t>opt</m:t>
            </m:r>
          </m:sub>
        </m:sSub>
      </m:oMath>
      <w:r w:rsidRPr="00082ABC">
        <w:t xml:space="preserve"> need to be verified to see whether it meets the requirement of the two prerequisites shown in Eq. (</w:t>
      </w:r>
      <w:r w:rsidR="003A7800">
        <w:t>8</w:t>
      </w:r>
      <w:r w:rsidRPr="00082ABC">
        <w:t xml:space="preserve">). If the optimal concession period </w:t>
      </w:r>
      <w:r w:rsidRPr="00082ABC">
        <w:rPr>
          <w:rFonts w:hint="eastAsia"/>
        </w:rPr>
        <w:t>fail</w:t>
      </w:r>
      <w:r w:rsidRPr="00082ABC">
        <w:t xml:space="preserve">s to pass the verification, the optimal concession period can be revised according to the risk preferences that project parties hold. </w:t>
      </w:r>
    </w:p>
    <w:p w:rsidR="00082ABC" w:rsidRDefault="00082ABC" w:rsidP="00082ABC">
      <w:pPr>
        <w:rPr>
          <w:lang w:eastAsia="en-US"/>
        </w:rPr>
      </w:pPr>
    </w:p>
    <w:p w:rsidR="00082ABC" w:rsidRDefault="00082ABC" w:rsidP="00082ABC">
      <w:pPr>
        <w:pStyle w:val="SectionSub-heading"/>
      </w:pPr>
      <w:r w:rsidRPr="00082ABC">
        <w:t xml:space="preserve">Risk transfer model based on project </w:t>
      </w:r>
      <w:r w:rsidRPr="00082ABC">
        <w:rPr>
          <w:rFonts w:hint="eastAsia"/>
        </w:rPr>
        <w:t>participants</w:t>
      </w:r>
      <w:r w:rsidRPr="00082ABC">
        <w:t>’ risk preferences</w:t>
      </w:r>
    </w:p>
    <w:p w:rsidR="00082ABC" w:rsidRPr="00082ABC" w:rsidRDefault="00082ABC" w:rsidP="00082ABC">
      <w:r w:rsidRPr="00082ABC">
        <w:t>The risk verification process can produce difference outcomes. The best case would be that the proposed concession period can control risk occurrence rates for both parties under their risk acceptance cap</w:t>
      </w:r>
      <w:r w:rsidRPr="00082ABC">
        <w:rPr>
          <w:rFonts w:hint="eastAsia"/>
        </w:rPr>
        <w:t>s</w:t>
      </w:r>
      <w:r w:rsidRPr="00082ABC">
        <w:t xml:space="preserve"> while creating a win-win situation. If the concession period determined through </w:t>
      </w:r>
      <w:r w:rsidRPr="00082ABC">
        <w:rPr>
          <w:rFonts w:hint="eastAsia"/>
        </w:rPr>
        <w:t>the concession</w:t>
      </w:r>
      <w:r w:rsidRPr="00082ABC">
        <w:t xml:space="preserve"> </w:t>
      </w:r>
      <w:r w:rsidRPr="00082ABC">
        <w:rPr>
          <w:rFonts w:hint="eastAsia"/>
        </w:rPr>
        <w:t xml:space="preserve">period </w:t>
      </w:r>
      <w:r w:rsidRPr="00082ABC">
        <w:t>bargaining</w:t>
      </w:r>
      <w:r w:rsidRPr="00082ABC">
        <w:rPr>
          <w:rFonts w:hint="eastAsia"/>
        </w:rPr>
        <w:t xml:space="preserve"> model</w:t>
      </w:r>
      <w:r w:rsidRPr="00082ABC">
        <w:t xml:space="preserve"> leads to a </w:t>
      </w:r>
      <w:r w:rsidRPr="00082ABC">
        <w:rPr>
          <w:rFonts w:hint="eastAsia"/>
        </w:rPr>
        <w:t>risk</w:t>
      </w:r>
      <w:r w:rsidRPr="00082ABC">
        <w:t xml:space="preserve"> occurrence rate that is higher than the risk capacity of both parties, the designed concession period will not play a role in risk control. </w:t>
      </w:r>
      <w:r w:rsidRPr="00082ABC">
        <w:rPr>
          <w:rFonts w:hint="eastAsia"/>
        </w:rPr>
        <w:t>If</w:t>
      </w:r>
      <w:r w:rsidRPr="00082ABC">
        <w:t xml:space="preserve"> only one party suffers a</w:t>
      </w:r>
      <w:r w:rsidRPr="00082ABC">
        <w:rPr>
          <w:rFonts w:hint="eastAsia"/>
        </w:rPr>
        <w:t xml:space="preserve"> risk</w:t>
      </w:r>
      <w:r w:rsidRPr="00082ABC">
        <w:t xml:space="preserve"> </w:t>
      </w:r>
      <w:proofErr w:type="spellStart"/>
      <w:r w:rsidRPr="00082ABC">
        <w:t>spillover</w:t>
      </w:r>
      <w:proofErr w:type="spellEnd"/>
      <w:r w:rsidRPr="00082ABC">
        <w:t xml:space="preserve">, the final concession period will be decided by their risk preference. </w:t>
      </w:r>
      <w:r w:rsidRPr="00082ABC">
        <w:rPr>
          <w:rFonts w:hint="eastAsia"/>
        </w:rPr>
        <w:t>T</w:t>
      </w:r>
      <w:r w:rsidRPr="00082ABC">
        <w:t>hus, a risk transfer model is designed to cope with this condition. For better explanation, it is assumed that there is a risk holder 1 who suffer</w:t>
      </w:r>
      <w:r w:rsidRPr="00082ABC">
        <w:rPr>
          <w:rFonts w:hint="eastAsia"/>
        </w:rPr>
        <w:t>s</w:t>
      </w:r>
      <w:r w:rsidRPr="00082ABC">
        <w:t xml:space="preserve"> more risk than their risk capacity. Risk holder 1 wants to transfer the excess risk to risk holder 2, who suffer</w:t>
      </w:r>
      <w:r w:rsidRPr="00082ABC">
        <w:rPr>
          <w:rFonts w:hint="eastAsia"/>
        </w:rPr>
        <w:t>s</w:t>
      </w:r>
      <w:r w:rsidRPr="00082ABC">
        <w:t xml:space="preserve"> less risk than their risk capacity. During the risk transfer process, the concession period needs to be adjusted to achieve this risk re-allocation. The new concession period after the risk transfer process can be found following Eq. (</w:t>
      </w:r>
      <w:r w:rsidR="003A7800">
        <w:t>9</w:t>
      </w:r>
      <w:r w:rsidRPr="00082ABC">
        <w:t>):</w:t>
      </w:r>
    </w:p>
    <w:p w:rsidR="00082ABC" w:rsidRPr="00082ABC" w:rsidRDefault="003375FF" w:rsidP="00082ABC">
      <m:oMath>
        <m:sSub>
          <m:sSubPr>
            <m:ctrlPr>
              <w:rPr>
                <w:rFonts w:ascii="Cambria Math" w:hAnsi="Cambria Math"/>
                <w:lang w:val="en-AU" w:eastAsia="zh-CN"/>
              </w:rPr>
            </m:ctrlPr>
          </m:sSubPr>
          <m:e>
            <m:r>
              <w:rPr>
                <w:rFonts w:ascii="Cambria Math" w:hAnsi="Cambria Math"/>
              </w:rPr>
              <m:t>t</m:t>
            </m:r>
          </m:e>
          <m:sub>
            <m:r>
              <w:rPr>
                <w:rFonts w:ascii="Cambria Math" w:hAnsi="Cambria Math"/>
              </w:rPr>
              <m:t>cnew</m:t>
            </m:r>
          </m:sub>
        </m:sSub>
        <m:r>
          <w:rPr>
            <w:rFonts w:ascii="Cambria Math" w:hAnsi="Cambria Math"/>
          </w:rPr>
          <m:t>=</m:t>
        </m:r>
        <m:d>
          <m:dPr>
            <m:begChr m:val=""/>
            <m:endChr m:val=""/>
            <m:ctrlPr>
              <w:rPr>
                <w:rFonts w:ascii="Cambria Math" w:hAnsi="Cambria Math"/>
                <w:lang w:val="en-AU" w:eastAsia="zh-CN"/>
              </w:rPr>
            </m:ctrlPr>
          </m:dPr>
          <m:e>
            <m:sSub>
              <m:sSubPr>
                <m:ctrlPr>
                  <w:rPr>
                    <w:rFonts w:ascii="Cambria Math" w:hAnsi="Cambria Math"/>
                    <w:lang w:val="en-AU" w:eastAsia="zh-CN"/>
                  </w:rPr>
                </m:ctrlPr>
              </m:sSubPr>
              <m:e>
                <m:sSub>
                  <m:sSubPr>
                    <m:ctrlPr>
                      <w:rPr>
                        <w:rFonts w:ascii="Cambria Math" w:hAnsi="Cambria Math"/>
                        <w:lang w:val="en-AU" w:eastAsia="zh-CN"/>
                      </w:rPr>
                    </m:ctrlPr>
                  </m:sSubPr>
                  <m:e>
                    <m:sSub>
                      <m:sSubPr>
                        <m:ctrlPr>
                          <w:rPr>
                            <w:rFonts w:ascii="Cambria Math" w:hAnsi="Cambria Math"/>
                            <w:lang w:val="en-AU" w:eastAsia="zh-CN"/>
                          </w:rPr>
                        </m:ctrlPr>
                      </m:sSubPr>
                      <m:e>
                        <m:r>
                          <w:rPr>
                            <w:rFonts w:ascii="Cambria Math" w:hAnsi="Cambria Math"/>
                          </w:rPr>
                          <m:t>{t</m:t>
                        </m:r>
                      </m:e>
                      <m:sub>
                        <m:r>
                          <w:rPr>
                            <w:rFonts w:ascii="Cambria Math" w:hAnsi="Cambria Math"/>
                          </w:rPr>
                          <m:t>c</m:t>
                        </m:r>
                      </m:sub>
                    </m:sSub>
                    <m:r>
                      <w:rPr>
                        <w:rFonts w:ascii="Cambria Math" w:hAnsi="Cambria Math"/>
                      </w:rPr>
                      <m:t>:F</m:t>
                    </m:r>
                  </m:e>
                  <m:sub>
                    <m:r>
                      <w:rPr>
                        <w:rFonts w:ascii="Cambria Math" w:hAnsi="Cambria Math"/>
                      </w:rPr>
                      <m:t>3</m:t>
                    </m:r>
                  </m:sub>
                </m:sSub>
                <m:d>
                  <m:dPr>
                    <m:ctrlPr>
                      <w:rPr>
                        <w:rFonts w:ascii="Cambria Math" w:hAnsi="Cambria Math"/>
                        <w:lang w:val="en-AU" w:eastAsia="zh-CN"/>
                      </w:rPr>
                    </m:ctrlPr>
                  </m:dPr>
                  <m:e>
                    <m:sSub>
                      <m:sSubPr>
                        <m:ctrlPr>
                          <w:rPr>
                            <w:rFonts w:ascii="Cambria Math" w:hAnsi="Cambria Math"/>
                            <w:lang w:val="en-AU" w:eastAsia="zh-CN"/>
                          </w:rPr>
                        </m:ctrlPr>
                      </m:sSubPr>
                      <m:e>
                        <m:r>
                          <w:rPr>
                            <w:rFonts w:ascii="Cambria Math" w:hAnsi="Cambria Math"/>
                          </w:rPr>
                          <m:t>t</m:t>
                        </m:r>
                      </m:e>
                      <m:sub>
                        <m:r>
                          <w:rPr>
                            <w:rFonts w:ascii="Cambria Math" w:hAnsi="Cambria Math"/>
                          </w:rPr>
                          <m:t>c</m:t>
                        </m:r>
                      </m:sub>
                    </m:sSub>
                  </m:e>
                </m:d>
                <m:r>
                  <w:rPr>
                    <w:rFonts w:ascii="Cambria Math" w:hAnsi="Cambria Math"/>
                  </w:rPr>
                  <m:t>=</m:t>
                </m:r>
                <m:sSub>
                  <m:sSubPr>
                    <m:ctrlPr>
                      <w:rPr>
                        <w:rFonts w:ascii="Cambria Math" w:hAnsi="Cambria Math"/>
                        <w:lang w:val="en-AU" w:eastAsia="zh-CN"/>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lang w:val="en-AU" w:eastAsia="zh-CN"/>
                      </w:rPr>
                    </m:ctrlPr>
                  </m:sSubPr>
                  <m:e>
                    <m:r>
                      <w:rPr>
                        <w:rFonts w:ascii="Cambria Math" w:hAnsi="Cambria Math"/>
                      </w:rPr>
                      <m:t>RA</m:t>
                    </m:r>
                  </m:e>
                  <m:sub>
                    <m:r>
                      <w:rPr>
                        <w:rFonts w:ascii="Cambria Math" w:hAnsi="Cambria Math"/>
                      </w:rPr>
                      <m:t>1</m:t>
                    </m:r>
                  </m:sub>
                </m:sSub>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lang w:val="en-AU" w:eastAsia="zh-CN"/>
                  </w:rPr>
                </m:ctrlPr>
              </m:sSubPr>
              <m:e>
                <m:r>
                  <w:rPr>
                    <w:rFonts w:ascii="Cambria Math" w:hAnsi="Cambria Math"/>
                  </w:rPr>
                  <m:t>P</m:t>
                </m:r>
              </m:e>
              <m:sub>
                <m:r>
                  <w:rPr>
                    <w:rFonts w:ascii="Cambria Math" w:hAnsi="Cambria Math"/>
                  </w:rPr>
                  <m:t>2</m:t>
                </m:r>
              </m:sub>
            </m:sSub>
            <m:d>
              <m:dPr>
                <m:ctrlPr>
                  <w:rPr>
                    <w:rFonts w:ascii="Cambria Math" w:hAnsi="Cambria Math"/>
                    <w:lang w:val="en-AU" w:eastAsia="zh-CN"/>
                  </w:rPr>
                </m:ctrlPr>
              </m:dPr>
              <m:e>
                <m:sSub>
                  <m:sSubPr>
                    <m:ctrlPr>
                      <w:rPr>
                        <w:rFonts w:ascii="Cambria Math" w:hAnsi="Cambria Math"/>
                        <w:lang w:val="en-AU" w:eastAsia="zh-CN"/>
                      </w:rPr>
                    </m:ctrlPr>
                  </m:sSubPr>
                  <m:e>
                    <m:r>
                      <w:rPr>
                        <w:rFonts w:ascii="Cambria Math" w:hAnsi="Cambria Math"/>
                      </w:rPr>
                      <m:t>t</m:t>
                    </m:r>
                  </m:e>
                  <m:sub>
                    <m:r>
                      <w:rPr>
                        <w:rFonts w:ascii="Cambria Math" w:hAnsi="Cambria Math"/>
                      </w:rPr>
                      <m:t>c</m:t>
                    </m:r>
                  </m:sub>
                </m:sSub>
              </m:e>
            </m:d>
            <m:r>
              <w:rPr>
                <w:rFonts w:ascii="Cambria Math" w:hAnsi="Cambria Math"/>
              </w:rPr>
              <m:t>=0}</m:t>
            </m:r>
          </m:e>
        </m:d>
      </m:oMath>
      <w:r w:rsidR="00082ABC" w:rsidRPr="00082ABC">
        <w:t xml:space="preserve">  (</w:t>
      </w:r>
      <w:r w:rsidR="003A7800">
        <w:t>9</w:t>
      </w:r>
      <w:r w:rsidR="00082ABC" w:rsidRPr="00082ABC">
        <w:t>)</w:t>
      </w:r>
    </w:p>
    <w:p w:rsidR="00082ABC" w:rsidRPr="00082ABC" w:rsidRDefault="00082ABC" w:rsidP="00082ABC">
      <m:oMathPara>
        <m:oMathParaPr>
          <m:jc m:val="left"/>
        </m:oMathParaPr>
        <m:oMath>
          <m:r>
            <w:rPr>
              <w:rFonts w:ascii="Cambria Math" w:hAnsi="Cambria Math"/>
            </w:rPr>
            <m:t xml:space="preserve">s.t. </m:t>
          </m:r>
          <m:sSub>
            <m:sSubPr>
              <m:ctrlPr>
                <w:rPr>
                  <w:rFonts w:ascii="Cambria Math" w:hAnsi="Cambria Math"/>
                  <w:lang w:val="en-AU" w:eastAsia="zh-CN"/>
                </w:rPr>
              </m:ctrlPr>
            </m:sSubPr>
            <m:e>
              <m:sSub>
                <m:sSubPr>
                  <m:ctrlPr>
                    <w:rPr>
                      <w:rFonts w:ascii="Cambria Math" w:hAnsi="Cambria Math"/>
                      <w:lang w:val="en-AU" w:eastAsia="zh-CN"/>
                    </w:rPr>
                  </m:ctrlPr>
                </m:sSubPr>
                <m:e>
                  <m:r>
                    <w:rPr>
                      <w:rFonts w:ascii="Cambria Math" w:hAnsi="Cambria Math"/>
                    </w:rPr>
                    <m:t>R</m:t>
                  </m:r>
                </m:e>
                <m:sub>
                  <m:r>
                    <w:rPr>
                      <w:rFonts w:ascii="Cambria Math" w:hAnsi="Cambria Math"/>
                    </w:rPr>
                    <m:t>2</m:t>
                  </m:r>
                </m:sub>
              </m:sSub>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lang w:val="en-AU" w:eastAsia="zh-CN"/>
                </w:rPr>
              </m:ctrlPr>
            </m:sSubPr>
            <m:e>
              <m:r>
                <w:rPr>
                  <w:rFonts w:ascii="Cambria Math" w:hAnsi="Cambria Math"/>
                </w:rPr>
                <m:t>RA</m:t>
              </m:r>
            </m:e>
            <m:sub>
              <m:r>
                <w:rPr>
                  <w:rFonts w:ascii="Cambria Math" w:hAnsi="Cambria Math"/>
                </w:rPr>
                <m:t>1</m:t>
              </m:r>
            </m:sub>
          </m:sSub>
          <m:r>
            <w:rPr>
              <w:rFonts w:ascii="Cambria Math" w:hAnsi="Cambria Math"/>
            </w:rPr>
            <m:t>≤</m:t>
          </m:r>
          <m:sSub>
            <m:sSubPr>
              <m:ctrlPr>
                <w:rPr>
                  <w:rFonts w:ascii="Cambria Math" w:hAnsi="Cambria Math"/>
                  <w:lang w:val="en-AU" w:eastAsia="zh-CN"/>
                </w:rPr>
              </m:ctrlPr>
            </m:sSubPr>
            <m:e>
              <m:r>
                <w:rPr>
                  <w:rFonts w:ascii="Cambria Math" w:hAnsi="Cambria Math"/>
                </w:rPr>
                <m:t>RA</m:t>
              </m:r>
            </m:e>
            <m:sub>
              <m:r>
                <w:rPr>
                  <w:rFonts w:ascii="Cambria Math" w:hAnsi="Cambria Math"/>
                </w:rPr>
                <m:t>2</m:t>
              </m:r>
            </m:sub>
          </m:sSub>
        </m:oMath>
      </m:oMathPara>
    </w:p>
    <w:p w:rsidR="00082ABC" w:rsidRDefault="00082ABC" w:rsidP="00082ABC">
      <w:r w:rsidRPr="00082ABC">
        <w:t xml:space="preserve">where R1 </w:t>
      </w:r>
      <w:r w:rsidRPr="00082ABC">
        <w:rPr>
          <w:rFonts w:hint="eastAsia"/>
        </w:rPr>
        <w:t>is</w:t>
      </w:r>
      <w:r w:rsidRPr="00082ABC">
        <w:t xml:space="preserve"> the risk borne by risk holder 1. R2 is the risk borne by risk holder 2. RA1 and RA2 are the risk acceptance caps of risk holder 1 and 2 respectively. </w:t>
      </w:r>
      <m:oMath>
        <m:sSub>
          <m:sSubPr>
            <m:ctrlPr>
              <w:rPr>
                <w:rFonts w:ascii="Cambria Math" w:hAnsi="Cambria Math"/>
                <w:lang w:val="en-AU" w:eastAsia="zh-CN"/>
              </w:rPr>
            </m:ctrlPr>
          </m:sSubPr>
          <m:e>
            <m:r>
              <w:rPr>
                <w:rFonts w:ascii="Cambria Math" w:hAnsi="Cambria Math"/>
              </w:rPr>
              <m:t>t</m:t>
            </m:r>
          </m:e>
          <m:sub>
            <m:r>
              <w:rPr>
                <w:rFonts w:ascii="Cambria Math" w:hAnsi="Cambria Math"/>
              </w:rPr>
              <m:t>cnew</m:t>
            </m:r>
          </m:sub>
        </m:sSub>
      </m:oMath>
      <w:r w:rsidRPr="00082ABC">
        <w:t xml:space="preserve"> is the revised concession period after transferring the risk. </w:t>
      </w:r>
      <m:oMath>
        <m:sSub>
          <m:sSubPr>
            <m:ctrlPr>
              <w:rPr>
                <w:rFonts w:ascii="Cambria Math" w:hAnsi="Cambria Math"/>
                <w:lang w:val="en-AU" w:eastAsia="zh-CN"/>
              </w:rPr>
            </m:ctrlPr>
          </m:sSubPr>
          <m:e>
            <m:r>
              <w:rPr>
                <w:rFonts w:ascii="Cambria Math" w:hAnsi="Cambria Math"/>
              </w:rPr>
              <m:t>P</m:t>
            </m:r>
          </m:e>
          <m:sub>
            <m:r>
              <w:rPr>
                <w:rFonts w:ascii="Cambria Math" w:hAnsi="Cambria Math"/>
              </w:rPr>
              <m:t>2</m:t>
            </m:r>
          </m:sub>
        </m:sSub>
        <m:d>
          <m:dPr>
            <m:ctrlPr>
              <w:rPr>
                <w:rFonts w:ascii="Cambria Math" w:hAnsi="Cambria Math"/>
                <w:lang w:val="en-AU" w:eastAsia="zh-CN"/>
              </w:rPr>
            </m:ctrlPr>
          </m:dPr>
          <m:e>
            <m:sSub>
              <m:sSubPr>
                <m:ctrlPr>
                  <w:rPr>
                    <w:rFonts w:ascii="Cambria Math" w:hAnsi="Cambria Math"/>
                    <w:lang w:val="en-AU" w:eastAsia="zh-CN"/>
                  </w:rPr>
                </m:ctrlPr>
              </m:sSubPr>
              <m:e>
                <m:r>
                  <w:rPr>
                    <w:rFonts w:ascii="Cambria Math" w:hAnsi="Cambria Math"/>
                  </w:rPr>
                  <m:t>t</m:t>
                </m:r>
              </m:e>
              <m:sub>
                <m:r>
                  <w:rPr>
                    <w:rFonts w:ascii="Cambria Math" w:hAnsi="Cambria Math"/>
                  </w:rPr>
                  <m:t>c</m:t>
                </m:r>
              </m:sub>
            </m:sSub>
          </m:e>
        </m:d>
        <m:r>
          <w:rPr>
            <w:rFonts w:ascii="Cambria Math" w:hAnsi="Cambria Math"/>
          </w:rPr>
          <m:t>=P</m:t>
        </m:r>
        <m:d>
          <m:dPr>
            <m:begChr m:val="{"/>
            <m:endChr m:val="}"/>
            <m:ctrlPr>
              <w:rPr>
                <w:rFonts w:ascii="Cambria Math" w:hAnsi="Cambria Math"/>
                <w:lang w:val="en-AU" w:eastAsia="zh-CN"/>
              </w:rPr>
            </m:ctrlPr>
          </m:dPr>
          <m:e>
            <m:r>
              <w:rPr>
                <w:rFonts w:ascii="Cambria Math" w:hAnsi="Cambria Math"/>
              </w:rPr>
              <m:t>[</m:t>
            </m:r>
            <m:sSup>
              <m:sSupPr>
                <m:ctrlPr>
                  <w:rPr>
                    <w:rFonts w:ascii="Cambria Math" w:hAnsi="Cambria Math"/>
                    <w:lang w:val="en-AU" w:eastAsia="zh-CN"/>
                  </w:rPr>
                </m:ctrlPr>
              </m:sSupPr>
              <m:e>
                <m:r>
                  <w:rPr>
                    <w:rFonts w:ascii="Cambria Math" w:hAnsi="Cambria Math"/>
                  </w:rPr>
                  <m:t>ENPV</m:t>
                </m:r>
              </m:e>
              <m:sup>
                <m:r>
                  <w:rPr>
                    <w:rFonts w:ascii="Cambria Math" w:hAnsi="Cambria Math"/>
                  </w:rPr>
                  <m:t>'</m:t>
                </m:r>
              </m:sup>
            </m:sSup>
            <m:r>
              <w:rPr>
                <w:rFonts w:ascii="Cambria Math" w:hAnsi="Cambria Math"/>
              </w:rPr>
              <m:t>&lt;</m:t>
            </m:r>
            <m:d>
              <m:dPr>
                <m:ctrlPr>
                  <w:rPr>
                    <w:rFonts w:ascii="Cambria Math" w:hAnsi="Cambria Math"/>
                    <w:lang w:val="en-AU" w:eastAsia="zh-CN"/>
                  </w:rPr>
                </m:ctrlPr>
              </m:dPr>
              <m:e>
                <m:sSub>
                  <m:sSubPr>
                    <m:ctrlPr>
                      <w:rPr>
                        <w:rFonts w:ascii="Cambria Math" w:hAnsi="Cambria Math"/>
                        <w:lang w:val="en-AU" w:eastAsia="zh-CN"/>
                      </w:rPr>
                    </m:ctrlPr>
                  </m:sSubPr>
                  <m:e>
                    <m:r>
                      <w:rPr>
                        <w:rFonts w:ascii="Cambria Math" w:hAnsi="Cambria Math"/>
                      </w:rPr>
                      <m:t>I</m:t>
                    </m:r>
                  </m:e>
                  <m:sub>
                    <m:r>
                      <w:rPr>
                        <w:rFonts w:ascii="Cambria Math" w:hAnsi="Cambria Math"/>
                      </w:rPr>
                      <m:t>c</m:t>
                    </m:r>
                  </m:sub>
                </m:sSub>
                <m:r>
                  <w:rPr>
                    <w:rFonts w:ascii="Cambria Math" w:hAnsi="Cambria Math"/>
                  </w:rPr>
                  <m:t>+</m:t>
                </m:r>
                <m:sSub>
                  <m:sSubPr>
                    <m:ctrlPr>
                      <w:rPr>
                        <w:rFonts w:ascii="Cambria Math" w:hAnsi="Cambria Math"/>
                        <w:lang w:val="en-AU" w:eastAsia="zh-CN"/>
                      </w:rPr>
                    </m:ctrlPr>
                  </m:sSubPr>
                  <m:e>
                    <m:r>
                      <w:rPr>
                        <w:rFonts w:ascii="Cambria Math" w:hAnsi="Cambria Math"/>
                      </w:rPr>
                      <m:t>I</m:t>
                    </m:r>
                  </m:e>
                  <m:sub>
                    <m:r>
                      <w:rPr>
                        <w:rFonts w:ascii="Cambria Math" w:hAnsi="Cambria Math"/>
                      </w:rPr>
                      <m:t>i</m:t>
                    </m:r>
                  </m:sub>
                </m:sSub>
              </m:e>
            </m:d>
            <m:r>
              <w:rPr>
                <w:rFonts w:ascii="Cambria Math" w:hAnsi="Cambria Math"/>
              </w:rPr>
              <m:t>×</m:t>
            </m:r>
            <m:sSub>
              <m:sSubPr>
                <m:ctrlPr>
                  <w:rPr>
                    <w:rFonts w:ascii="Cambria Math" w:hAnsi="Cambria Math"/>
                    <w:lang w:val="en-AU" w:eastAsia="zh-CN"/>
                  </w:rPr>
                </m:ctrlPr>
              </m:sSubPr>
              <m:e>
                <m:r>
                  <w:rPr>
                    <w:rFonts w:ascii="Cambria Math" w:hAnsi="Cambria Math"/>
                  </w:rPr>
                  <m:t>ROI</m:t>
                </m:r>
              </m:e>
              <m:sub>
                <m:r>
                  <w:rPr>
                    <w:rFonts w:ascii="Cambria Math" w:hAnsi="Cambria Math"/>
                  </w:rPr>
                  <m:t>min</m:t>
                </m:r>
              </m:sub>
            </m:sSub>
            <m:r>
              <w:rPr>
                <w:rFonts w:ascii="Cambria Math" w:hAnsi="Cambria Math"/>
              </w:rPr>
              <m:t>]∨</m:t>
            </m:r>
            <m:sSup>
              <m:sSupPr>
                <m:ctrlPr>
                  <w:rPr>
                    <w:rFonts w:ascii="Cambria Math" w:hAnsi="Cambria Math"/>
                    <w:lang w:val="en-AU" w:eastAsia="zh-CN"/>
                  </w:rPr>
                </m:ctrlPr>
              </m:sSupPr>
              <m:e>
                <m:sSub>
                  <m:sSubPr>
                    <m:ctrlPr>
                      <w:rPr>
                        <w:rFonts w:ascii="Cambria Math" w:hAnsi="Cambria Math"/>
                        <w:lang w:val="en-AU" w:eastAsia="zh-CN"/>
                      </w:rPr>
                    </m:ctrlPr>
                  </m:sSubPr>
                  <m:e>
                    <m:r>
                      <w:rPr>
                        <w:rFonts w:ascii="Cambria Math" w:hAnsi="Cambria Math"/>
                      </w:rPr>
                      <m:t>[NPV</m:t>
                    </m:r>
                  </m:e>
                  <m:sub>
                    <m:r>
                      <w:rPr>
                        <w:rFonts w:ascii="Cambria Math" w:hAnsi="Cambria Math"/>
                      </w:rPr>
                      <m:t>g</m:t>
                    </m:r>
                  </m:sub>
                </m:sSub>
              </m:e>
              <m:sup>
                <m:r>
                  <w:rPr>
                    <w:rFonts w:ascii="Cambria Math" w:hAnsi="Cambria Math"/>
                  </w:rPr>
                  <m:t>'</m:t>
                </m:r>
              </m:sup>
            </m:sSup>
            <m:r>
              <w:rPr>
                <w:rFonts w:ascii="Cambria Math" w:hAnsi="Cambria Math"/>
              </w:rPr>
              <m:t>&lt;0]</m:t>
            </m:r>
          </m:e>
        </m:d>
      </m:oMath>
      <w:r w:rsidRPr="00082ABC">
        <w:t xml:space="preserve"> is the occurrence rate of the risk events that risk holder 2 holds. The constraints show the principle that the risk held by risk holder 2 is still under the risk acceptance cap after the risk transfer process.</w:t>
      </w:r>
    </w:p>
    <w:p w:rsidR="00082ABC" w:rsidRDefault="00082ABC" w:rsidP="00082ABC">
      <w:pPr>
        <w:rPr>
          <w:lang w:eastAsia="en-US"/>
        </w:rPr>
      </w:pPr>
    </w:p>
    <w:p w:rsidR="00082ABC" w:rsidRDefault="00082ABC" w:rsidP="00082ABC">
      <w:pPr>
        <w:pStyle w:val="SectionHeading"/>
      </w:pPr>
      <w:r w:rsidRPr="00082ABC">
        <w:t>Numerical example</w:t>
      </w:r>
    </w:p>
    <w:p w:rsidR="00082ABC" w:rsidRPr="00082ABC" w:rsidRDefault="00082ABC" w:rsidP="00082ABC">
      <w:r w:rsidRPr="00082ABC">
        <w:t xml:space="preserve">The </w:t>
      </w:r>
      <w:r w:rsidRPr="00082ABC">
        <w:rPr>
          <w:rFonts w:hint="eastAsia"/>
        </w:rPr>
        <w:t>prop</w:t>
      </w:r>
      <w:r w:rsidRPr="00082ABC">
        <w:t xml:space="preserve">osed determination method is applied to Project BA to verify its applicability. Conducted as a freeway PPP project, the estimated construction cost is 4.8 billion Australian dollars. The road is toll </w:t>
      </w:r>
      <w:r w:rsidRPr="00082ABC">
        <w:rPr>
          <w:rFonts w:hint="eastAsia"/>
        </w:rPr>
        <w:t>free for the first three months</w:t>
      </w:r>
      <w:r w:rsidRPr="00082ABC">
        <w:t>,</w:t>
      </w:r>
      <w:r w:rsidRPr="00082ABC">
        <w:rPr>
          <w:rFonts w:hint="eastAsia"/>
        </w:rPr>
        <w:t xml:space="preserve"> and afterwards the toll charge </w:t>
      </w:r>
      <w:r w:rsidRPr="00082ABC">
        <w:t>is</w:t>
      </w:r>
      <w:r w:rsidRPr="00082ABC">
        <w:rPr>
          <w:rFonts w:hint="eastAsia"/>
        </w:rPr>
        <w:t xml:space="preserve"> </w:t>
      </w:r>
      <w:r w:rsidRPr="00082ABC">
        <w:t xml:space="preserve">2.5 Australian dollars per vehicle for the following 10 months. After a 13-month </w:t>
      </w:r>
      <w:r w:rsidR="00EA043F" w:rsidRPr="00082ABC">
        <w:t>trial</w:t>
      </w:r>
      <w:r w:rsidRPr="00082ABC">
        <w:t xml:space="preserve"> period, and the toll </w:t>
      </w:r>
      <w:r w:rsidR="00EA043F">
        <w:t>is</w:t>
      </w:r>
      <w:r w:rsidRPr="00082ABC">
        <w:t xml:space="preserve"> kept at 4.9 Australian dollars.</w:t>
      </w:r>
    </w:p>
    <w:p w:rsidR="00082ABC" w:rsidRDefault="00082ABC" w:rsidP="00082ABC">
      <w:pPr>
        <w:rPr>
          <w:lang w:eastAsia="en-US"/>
        </w:rPr>
      </w:pPr>
    </w:p>
    <w:p w:rsidR="00082ABC" w:rsidRDefault="00082ABC" w:rsidP="00082ABC">
      <w:pPr>
        <w:pStyle w:val="SectionSub-heading"/>
      </w:pPr>
      <w:r w:rsidRPr="00082ABC">
        <w:t>Concession period determination</w:t>
      </w:r>
    </w:p>
    <w:p w:rsidR="00082ABC" w:rsidRPr="00082ABC" w:rsidRDefault="00082ABC" w:rsidP="00082ABC">
      <w:r w:rsidRPr="00082ABC">
        <w:t>Initially, it is necessary to clarify the project parameters that are used in the determination model. Some of the project parameters show uncertainty, as they change with the trends of the market surroundings. These parameters are given as follows: the initial yearly traffic volume forecast for the Brisbane airport link is</w:t>
      </w:r>
      <m:oMath>
        <m:r>
          <w:rPr>
            <w:rFonts w:ascii="Cambria Math" w:hAnsi="Cambria Math"/>
          </w:rPr>
          <m:t xml:space="preserve"> 1.10×</m:t>
        </m:r>
        <m:sSup>
          <m:sSupPr>
            <m:ctrlPr>
              <w:rPr>
                <w:rFonts w:ascii="Cambria Math" w:hAnsi="Cambria Math"/>
                <w:lang w:val="en-AU" w:eastAsia="zh-CN"/>
              </w:rPr>
            </m:ctrlPr>
          </m:sSupPr>
          <m:e>
            <m:r>
              <w:rPr>
                <w:rFonts w:ascii="Cambria Math" w:hAnsi="Cambria Math"/>
              </w:rPr>
              <m:t>10</m:t>
            </m:r>
          </m:e>
          <m:sup>
            <m:r>
              <w:rPr>
                <w:rFonts w:ascii="Cambria Math" w:hAnsi="Cambria Math"/>
              </w:rPr>
              <m:t>8</m:t>
            </m:r>
          </m:sup>
        </m:sSup>
      </m:oMath>
      <w:r w:rsidRPr="00082ABC">
        <w:t xml:space="preserve">. The volatility of the future traffic volume is 12.5%. </w:t>
      </w:r>
      <w:r w:rsidRPr="00082ABC">
        <w:rPr>
          <w:rFonts w:hint="eastAsia"/>
        </w:rPr>
        <w:t>The</w:t>
      </w:r>
      <w:r w:rsidRPr="00082ABC">
        <w:t xml:space="preserve"> operational cost is assumed to be 0.8 Australian dollars per vehicle before the full charge of the toll road. Afterwards, t</w:t>
      </w:r>
      <w:r w:rsidRPr="00082ABC">
        <w:rPr>
          <w:rFonts w:hint="eastAsia"/>
        </w:rPr>
        <w:t>he</w:t>
      </w:r>
      <w:r w:rsidRPr="00082ABC">
        <w:t xml:space="preserve"> annual operational cost is set at 30% of the annual toll revenue. The maintenance cost is 4 billion Australian dollars in the initial year with a 3% annual growth rate according to the </w:t>
      </w:r>
      <w:r w:rsidRPr="00082ABC">
        <w:rPr>
          <w:rFonts w:hint="eastAsia"/>
        </w:rPr>
        <w:t>local</w:t>
      </w:r>
      <w:r w:rsidRPr="00082ABC">
        <w:t xml:space="preserve"> consumer price index. The expected traffic growth rate of the Project BA is in line with the local yearly traffic growth rate of 2.9%. Since the decision model calculates the cash flows based on the randomly traffic volume. The discount rate used for calculating the project NPV is the risk-free rate, which is 2.6% that equals the 10-years yield of the Australia bond. The underlying asset value for the real options calculation equals the NPV value for the first operational year, which is </w:t>
      </w:r>
      <m:oMath>
        <m:r>
          <w:rPr>
            <w:rFonts w:ascii="Cambria Math" w:hAnsi="Cambria Math"/>
          </w:rPr>
          <m:t>9.55×</m:t>
        </m:r>
        <m:sSup>
          <m:sSupPr>
            <m:ctrlPr>
              <w:rPr>
                <w:rFonts w:ascii="Cambria Math" w:hAnsi="Cambria Math"/>
                <w:lang w:val="en-AU" w:eastAsia="zh-CN"/>
              </w:rPr>
            </m:ctrlPr>
          </m:sSupPr>
          <m:e>
            <m:r>
              <w:rPr>
                <w:rFonts w:ascii="Cambria Math" w:hAnsi="Cambria Math"/>
              </w:rPr>
              <m:t>10</m:t>
            </m:r>
          </m:e>
          <m:sup>
            <m:r>
              <w:rPr>
                <w:rFonts w:ascii="Cambria Math" w:hAnsi="Cambria Math"/>
              </w:rPr>
              <m:t>6</m:t>
            </m:r>
          </m:sup>
        </m:sSup>
      </m:oMath>
      <w:r w:rsidRPr="00082ABC">
        <w:t xml:space="preserve"> Australian dollars.</w:t>
      </w:r>
    </w:p>
    <w:p w:rsidR="00082ABC" w:rsidRPr="00082ABC" w:rsidRDefault="00082ABC" w:rsidP="00082ABC"/>
    <w:p w:rsidR="00082ABC" w:rsidRPr="00082ABC" w:rsidRDefault="00082ABC" w:rsidP="00082ABC">
      <w:r w:rsidRPr="00082ABC">
        <w:t xml:space="preserve">In addition to the uncertainty </w:t>
      </w:r>
      <w:r w:rsidRPr="00082ABC">
        <w:rPr>
          <w:rFonts w:hint="eastAsia"/>
        </w:rPr>
        <w:t>para</w:t>
      </w:r>
      <w:r w:rsidRPr="00082ABC">
        <w:t>meters, the project itself has some inherent attributes</w:t>
      </w:r>
      <w:r w:rsidR="00975040">
        <w:rPr>
          <w:rFonts w:hint="eastAsia"/>
        </w:rPr>
        <w:t>:</w:t>
      </w:r>
      <w:r w:rsidRPr="00082ABC">
        <w:t xml:space="preserve"> the construction period is 4 years, and the project life is 60 years. The construction cost is 4.8 billion, and it is assumed that there are no other transaction costs during the project lifecycle. The minimum return rate on investment is 10%, and the maximum return rate on investment allowed by the </w:t>
      </w:r>
      <w:r w:rsidRPr="00082ABC">
        <w:rPr>
          <w:rFonts w:hint="eastAsia"/>
        </w:rPr>
        <w:t>government</w:t>
      </w:r>
      <w:r w:rsidRPr="00082ABC">
        <w:t xml:space="preserve"> is 20%. Both the private investor and governments can </w:t>
      </w:r>
      <w:r w:rsidRPr="00082ABC">
        <w:rPr>
          <w:rFonts w:hint="eastAsia"/>
        </w:rPr>
        <w:t>only</w:t>
      </w:r>
      <w:r w:rsidRPr="00082ABC">
        <w:t xml:space="preserve"> tolerate a risk probability of less than 10%. </w:t>
      </w:r>
      <w:r w:rsidRPr="00082ABC">
        <w:rPr>
          <w:rFonts w:hint="eastAsia"/>
        </w:rPr>
        <w:t>T</w:t>
      </w:r>
      <w:r w:rsidRPr="00082ABC">
        <w:t>he traffic volume simulation path can be produced via Eq. (1</w:t>
      </w:r>
      <w:r w:rsidR="003A7800">
        <w:t>0</w:t>
      </w:r>
      <w:r w:rsidRPr="00082ABC">
        <w:t>):</w:t>
      </w:r>
    </w:p>
    <w:p w:rsidR="00082ABC" w:rsidRDefault="003375FF" w:rsidP="00082ABC">
      <m:oMath>
        <m:sSub>
          <m:sSubPr>
            <m:ctrlPr>
              <w:rPr>
                <w:rFonts w:ascii="Cambria Math" w:hAnsi="Cambria Math"/>
                <w:lang w:val="en-AU" w:eastAsia="zh-CN"/>
              </w:rPr>
            </m:ctrlPr>
          </m:sSubPr>
          <m:e>
            <m:r>
              <w:rPr>
                <w:rFonts w:ascii="Cambria Math" w:hAnsi="Cambria Math"/>
              </w:rPr>
              <m:t>T</m:t>
            </m:r>
          </m:e>
          <m:sub>
            <m:r>
              <w:rPr>
                <w:rFonts w:ascii="Cambria Math" w:hAnsi="Cambria Math"/>
              </w:rPr>
              <m:t>t+1</m:t>
            </m:r>
          </m:sub>
        </m:sSub>
        <m:r>
          <w:rPr>
            <w:rFonts w:ascii="Cambria Math" w:hAnsi="Cambria Math"/>
          </w:rPr>
          <m:t>=</m:t>
        </m:r>
        <m:sSub>
          <m:sSubPr>
            <m:ctrlPr>
              <w:rPr>
                <w:rFonts w:ascii="Cambria Math" w:hAnsi="Cambria Math"/>
                <w:lang w:val="en-AU" w:eastAsia="zh-CN"/>
              </w:rPr>
            </m:ctrlPr>
          </m:sSubPr>
          <m:e>
            <m:r>
              <w:rPr>
                <w:rFonts w:ascii="Cambria Math" w:hAnsi="Cambria Math"/>
              </w:rPr>
              <m:t>T</m:t>
            </m:r>
          </m:e>
          <m:sub>
            <m:r>
              <w:rPr>
                <w:rFonts w:ascii="Cambria Math" w:hAnsi="Cambria Math"/>
              </w:rPr>
              <m:t>t</m:t>
            </m:r>
          </m:sub>
        </m:sSub>
        <m:r>
          <w:rPr>
            <w:rFonts w:ascii="Cambria Math" w:hAnsi="Cambria Math"/>
          </w:rPr>
          <m:t>×</m:t>
        </m:r>
        <m:sSup>
          <m:sSupPr>
            <m:ctrlPr>
              <w:rPr>
                <w:rFonts w:ascii="Cambria Math" w:hAnsi="Cambria Math"/>
                <w:lang w:val="en-AU" w:eastAsia="zh-CN"/>
              </w:rPr>
            </m:ctrlPr>
          </m:sSupPr>
          <m:e>
            <m:r>
              <w:rPr>
                <w:rFonts w:ascii="Cambria Math" w:hAnsi="Cambria Math"/>
              </w:rPr>
              <m:t>e</m:t>
            </m:r>
          </m:e>
          <m:sup>
            <m:d>
              <m:dPr>
                <m:ctrlPr>
                  <w:rPr>
                    <w:rFonts w:ascii="Cambria Math" w:hAnsi="Cambria Math"/>
                    <w:lang w:val="en-AU" w:eastAsia="zh-CN"/>
                  </w:rPr>
                </m:ctrlPr>
              </m:dPr>
              <m:e>
                <m:sSub>
                  <m:sSubPr>
                    <m:ctrlPr>
                      <w:rPr>
                        <w:rFonts w:ascii="Cambria Math" w:hAnsi="Cambria Math"/>
                        <w:lang w:val="en-AU" w:eastAsia="zh-CN"/>
                      </w:rPr>
                    </m:ctrlPr>
                  </m:sSubPr>
                  <m:e>
                    <m:r>
                      <w:rPr>
                        <w:rFonts w:ascii="Cambria Math" w:hAnsi="Cambria Math"/>
                      </w:rPr>
                      <m:t>μ</m:t>
                    </m:r>
                  </m:e>
                  <m:sub>
                    <m:r>
                      <w:rPr>
                        <w:rFonts w:ascii="Cambria Math" w:hAnsi="Cambria Math"/>
                      </w:rPr>
                      <m:t>T</m:t>
                    </m:r>
                  </m:sub>
                </m:sSub>
                <m:r>
                  <w:rPr>
                    <w:rFonts w:ascii="Cambria Math" w:hAnsi="Cambria Math"/>
                  </w:rPr>
                  <m:t>-</m:t>
                </m:r>
                <m:f>
                  <m:fPr>
                    <m:ctrlPr>
                      <w:rPr>
                        <w:rFonts w:ascii="Cambria Math" w:hAnsi="Cambria Math"/>
                        <w:lang w:val="en-AU" w:eastAsia="zh-CN"/>
                      </w:rPr>
                    </m:ctrlPr>
                  </m:fPr>
                  <m:num>
                    <m:sSubSup>
                      <m:sSubSupPr>
                        <m:ctrlPr>
                          <w:rPr>
                            <w:rFonts w:ascii="Cambria Math" w:hAnsi="Cambria Math"/>
                            <w:lang w:val="en-AU" w:eastAsia="zh-CN"/>
                          </w:rPr>
                        </m:ctrlPr>
                      </m:sSubSupPr>
                      <m:e>
                        <m:r>
                          <w:rPr>
                            <w:rFonts w:ascii="Cambria Math" w:hAnsi="Cambria Math"/>
                          </w:rPr>
                          <m:t>σ</m:t>
                        </m:r>
                      </m:e>
                      <m:sub>
                        <m:r>
                          <w:rPr>
                            <w:rFonts w:ascii="Cambria Math" w:hAnsi="Cambria Math"/>
                          </w:rPr>
                          <m:t>T</m:t>
                        </m:r>
                      </m:sub>
                      <m:sup>
                        <m:r>
                          <w:rPr>
                            <w:rFonts w:ascii="Cambria Math" w:hAnsi="Cambria Math"/>
                          </w:rPr>
                          <m:t>2</m:t>
                        </m:r>
                      </m:sup>
                    </m:sSubSup>
                  </m:num>
                  <m:den>
                    <m:r>
                      <w:rPr>
                        <w:rFonts w:ascii="Cambria Math" w:hAnsi="Cambria Math"/>
                      </w:rPr>
                      <m:t>2</m:t>
                    </m:r>
                  </m:den>
                </m:f>
              </m:e>
            </m:d>
            <m:r>
              <w:rPr>
                <w:rFonts w:ascii="Cambria Math" w:hAnsi="Cambria Math"/>
              </w:rPr>
              <m:t>∆t+</m:t>
            </m:r>
            <m:sSub>
              <m:sSubPr>
                <m:ctrlPr>
                  <w:rPr>
                    <w:rFonts w:ascii="Cambria Math" w:hAnsi="Cambria Math"/>
                    <w:lang w:val="en-AU" w:eastAsia="zh-CN"/>
                  </w:rPr>
                </m:ctrlPr>
              </m:sSubPr>
              <m:e>
                <m:r>
                  <w:rPr>
                    <w:rFonts w:ascii="Cambria Math" w:hAnsi="Cambria Math"/>
                  </w:rPr>
                  <m:t>σ</m:t>
                </m:r>
              </m:e>
              <m:sub>
                <m:r>
                  <w:rPr>
                    <w:rFonts w:ascii="Cambria Math" w:hAnsi="Cambria Math"/>
                  </w:rPr>
                  <m:t>T</m:t>
                </m:r>
              </m:sub>
            </m:sSub>
            <m:r>
              <w:rPr>
                <w:rFonts w:ascii="Cambria Math" w:hAnsi="Cambria Math"/>
              </w:rPr>
              <m:t>ε</m:t>
            </m:r>
            <m:rad>
              <m:radPr>
                <m:degHide m:val="1"/>
                <m:ctrlPr>
                  <w:rPr>
                    <w:rFonts w:ascii="Cambria Math" w:hAnsi="Cambria Math"/>
                    <w:lang w:val="en-AU" w:eastAsia="zh-CN"/>
                  </w:rPr>
                </m:ctrlPr>
              </m:radPr>
              <m:deg/>
              <m:e>
                <m:r>
                  <m:rPr>
                    <m:sty m:val="p"/>
                  </m:rPr>
                  <w:rPr>
                    <w:rFonts w:ascii="Cambria Math" w:hAnsi="Cambria Math"/>
                  </w:rPr>
                  <m:t>Δ</m:t>
                </m:r>
                <m:r>
                  <w:rPr>
                    <w:rFonts w:ascii="Cambria Math" w:hAnsi="Cambria Math"/>
                  </w:rPr>
                  <m:t>t</m:t>
                </m:r>
              </m:e>
            </m:rad>
          </m:sup>
        </m:sSup>
      </m:oMath>
      <w:r w:rsidR="00082ABC" w:rsidRPr="00082ABC">
        <w:t xml:space="preserve">    (1</w:t>
      </w:r>
      <w:r w:rsidR="003A7800">
        <w:t>0</w:t>
      </w:r>
      <w:r w:rsidR="00082ABC" w:rsidRPr="00082ABC">
        <w:t>)</w:t>
      </w:r>
    </w:p>
    <w:p w:rsidR="00EA043F" w:rsidRDefault="00EA043F" w:rsidP="00EA043F">
      <w:r w:rsidRPr="00082ABC">
        <w:t xml:space="preserve">where </w:t>
      </w:r>
      <m:oMath>
        <m:sSub>
          <m:sSubPr>
            <m:ctrlPr>
              <w:rPr>
                <w:rFonts w:ascii="Cambria Math" w:hAnsi="Cambria Math"/>
                <w:lang w:val="en-AU" w:eastAsia="zh-CN"/>
              </w:rPr>
            </m:ctrlPr>
          </m:sSubPr>
          <m:e>
            <m:r>
              <w:rPr>
                <w:rFonts w:ascii="Cambria Math" w:hAnsi="Cambria Math"/>
              </w:rPr>
              <m:t>T</m:t>
            </m:r>
          </m:e>
          <m:sub>
            <m:r>
              <w:rPr>
                <w:rFonts w:ascii="Cambria Math" w:hAnsi="Cambria Math"/>
              </w:rPr>
              <m:t>t</m:t>
            </m:r>
          </m:sub>
        </m:sSub>
      </m:oMath>
      <w:r w:rsidRPr="00082ABC">
        <w:t xml:space="preserve"> indicates the current traffic volume and </w:t>
      </w:r>
      <m:oMath>
        <m:sSub>
          <m:sSubPr>
            <m:ctrlPr>
              <w:rPr>
                <w:rFonts w:ascii="Cambria Math" w:hAnsi="Cambria Math"/>
                <w:lang w:val="en-AU" w:eastAsia="zh-CN"/>
              </w:rPr>
            </m:ctrlPr>
          </m:sSubPr>
          <m:e>
            <m:r>
              <w:rPr>
                <w:rFonts w:ascii="Cambria Math" w:hAnsi="Cambria Math"/>
              </w:rPr>
              <m:t>T</m:t>
            </m:r>
          </m:e>
          <m:sub>
            <m:r>
              <w:rPr>
                <w:rFonts w:ascii="Cambria Math" w:hAnsi="Cambria Math"/>
              </w:rPr>
              <m:t>t+1</m:t>
            </m:r>
          </m:sub>
        </m:sSub>
      </m:oMath>
      <w:r w:rsidRPr="00082ABC">
        <w:t xml:space="preserve"> is the traffic </w:t>
      </w:r>
      <w:r>
        <w:t>volume</w:t>
      </w:r>
      <w:r w:rsidRPr="00082ABC">
        <w:t xml:space="preserve"> in the next</w:t>
      </w:r>
    </w:p>
    <w:p w:rsidR="00082ABC" w:rsidRDefault="00EA043F" w:rsidP="00082ABC">
      <w:r w:rsidRPr="00082ABC">
        <w:t xml:space="preserve">year. </w:t>
      </w:r>
      <m:oMath>
        <m:r>
          <w:rPr>
            <w:rFonts w:ascii="Cambria Math" w:hAnsi="Cambria Math"/>
          </w:rPr>
          <m:t>∆t</m:t>
        </m:r>
      </m:oMath>
      <w:r w:rsidRPr="00082ABC">
        <w:t xml:space="preserve"> is the year used for data analysis. </w:t>
      </w:r>
      <m:oMath>
        <m:sSub>
          <m:sSubPr>
            <m:ctrlPr>
              <w:rPr>
                <w:rFonts w:ascii="Cambria Math" w:hAnsi="Cambria Math"/>
                <w:lang w:val="en-AU" w:eastAsia="zh-CN"/>
              </w:rPr>
            </m:ctrlPr>
          </m:sSubPr>
          <m:e>
            <m:r>
              <w:rPr>
                <w:rFonts w:ascii="Cambria Math" w:hAnsi="Cambria Math"/>
              </w:rPr>
              <m:t>μ</m:t>
            </m:r>
          </m:e>
          <m:sub>
            <m:r>
              <w:rPr>
                <w:rFonts w:ascii="Cambria Math" w:hAnsi="Cambria Math"/>
              </w:rPr>
              <m:t>T</m:t>
            </m:r>
          </m:sub>
        </m:sSub>
      </m:oMath>
      <w:r w:rsidRPr="00082ABC">
        <w:t xml:space="preserve"> is the expected traffic growth rate</w:t>
      </w:r>
      <w:r>
        <w:rPr>
          <w:rFonts w:hint="eastAsia"/>
        </w:rPr>
        <w:t xml:space="preserve"> </w:t>
      </w:r>
      <w:r w:rsidRPr="00082ABC">
        <w:t xml:space="preserve">during </w:t>
      </w:r>
      <m:oMath>
        <m:r>
          <w:rPr>
            <w:rFonts w:ascii="Cambria Math" w:hAnsi="Cambria Math"/>
          </w:rPr>
          <m:t>∆t.</m:t>
        </m:r>
      </m:oMath>
      <w:r w:rsidRPr="00082ABC">
        <w:t xml:space="preserve"> </w:t>
      </w:r>
      <m:oMath>
        <m:sSub>
          <m:sSubPr>
            <m:ctrlPr>
              <w:rPr>
                <w:rFonts w:ascii="Cambria Math" w:hAnsi="Cambria Math"/>
                <w:lang w:val="en-AU" w:eastAsia="zh-CN"/>
              </w:rPr>
            </m:ctrlPr>
          </m:sSubPr>
          <m:e>
            <m:r>
              <w:rPr>
                <w:rFonts w:ascii="Cambria Math" w:hAnsi="Cambria Math"/>
              </w:rPr>
              <m:t>σ</m:t>
            </m:r>
          </m:e>
          <m:sub>
            <m:r>
              <w:rPr>
                <w:rFonts w:ascii="Cambria Math" w:hAnsi="Cambria Math"/>
              </w:rPr>
              <m:t>T</m:t>
            </m:r>
          </m:sub>
        </m:sSub>
      </m:oMath>
      <w:r w:rsidRPr="00082ABC">
        <w:t xml:space="preserve"> is the annual volatility of the traffic volume accordingly.</w:t>
      </w:r>
    </w:p>
    <w:p w:rsidR="00082ABC" w:rsidRPr="00082ABC" w:rsidRDefault="00082ABC" w:rsidP="00082ABC">
      <w:r w:rsidRPr="00082ABC">
        <w:t xml:space="preserve">Based on </w:t>
      </w:r>
      <w:r w:rsidRPr="00082ABC">
        <w:rPr>
          <w:rFonts w:hint="eastAsia"/>
        </w:rPr>
        <w:t>the</w:t>
      </w:r>
      <w:r w:rsidRPr="00082ABC">
        <w:t xml:space="preserve"> generated GBM path, the ENPV value for the private investors can be calculated. What should be noted here is that the real option considered in this project is the abandonment option (viewed as an American put option). It is assumed that the project manager holds the right to quit the project once the traffic volume is 30%</w:t>
      </w:r>
      <w:r w:rsidRPr="00082ABC">
        <w:rPr>
          <w:rFonts w:hint="eastAsia"/>
        </w:rPr>
        <w:t xml:space="preserve"> </w:t>
      </w:r>
      <w:r w:rsidRPr="00082ABC">
        <w:lastRenderedPageBreak/>
        <w:t xml:space="preserve">lower </w:t>
      </w:r>
      <w:r w:rsidRPr="00082ABC">
        <w:rPr>
          <w:rFonts w:hint="eastAsia"/>
        </w:rPr>
        <w:t>than</w:t>
      </w:r>
      <w:r w:rsidRPr="00082ABC">
        <w:t xml:space="preserve"> the expected volume in </w:t>
      </w:r>
      <w:r w:rsidRPr="00082ABC">
        <w:rPr>
          <w:rFonts w:hint="eastAsia"/>
        </w:rPr>
        <w:t>the initial</w:t>
      </w:r>
      <w:r w:rsidRPr="00082ABC">
        <w:t xml:space="preserve"> year. Therefore, the executive price </w:t>
      </w:r>
      <w:r w:rsidRPr="00082ABC">
        <w:rPr>
          <w:rFonts w:hint="eastAsia"/>
        </w:rPr>
        <w:t xml:space="preserve">of the option </w:t>
      </w:r>
      <w:r w:rsidRPr="00082ABC">
        <w:t>is 70% of the value of the underlying asset (i.e. traffic revenue).</w:t>
      </w:r>
      <w:r w:rsidRPr="00082ABC">
        <w:rPr>
          <w:rFonts w:hint="eastAsia"/>
        </w:rPr>
        <w:t xml:space="preserve"> </w:t>
      </w:r>
      <w:r w:rsidRPr="00082ABC">
        <w:t xml:space="preserve">Since the Black-Scholes pricing model cannot be used for American options pricing, the binomial tree method is adopted, and the calculation outcome shows that the real option value is 167,240 Australian dollars over the whole project lifecycle. </w:t>
      </w:r>
    </w:p>
    <w:p w:rsidR="00082ABC" w:rsidRPr="00082ABC" w:rsidRDefault="00082ABC" w:rsidP="00082ABC"/>
    <w:p w:rsidR="00082ABC" w:rsidRPr="00082ABC" w:rsidRDefault="00082ABC" w:rsidP="00082ABC">
      <w:r w:rsidRPr="00082ABC">
        <w:t xml:space="preserve">By applying the concession period decision model, the minimum length of the concession period is calculated as 41 years, and the maximum length is 45 years, which means that the concession period should be located in the interval of 41 to 45 years. Given </w:t>
      </w:r>
      <m:oMath>
        <m:sSub>
          <m:sSubPr>
            <m:ctrlPr>
              <w:rPr>
                <w:rFonts w:ascii="Cambria Math" w:hAnsi="Cambria Math"/>
                <w:lang w:val="en-AU" w:eastAsia="zh-CN"/>
              </w:rPr>
            </m:ctrlPr>
          </m:sSubPr>
          <m:e>
            <m:r>
              <w:rPr>
                <w:rFonts w:ascii="Cambria Math" w:hAnsi="Cambria Math"/>
              </w:rPr>
              <m:t>σ</m:t>
            </m:r>
          </m:e>
          <m:sub>
            <m:r>
              <w:rPr>
                <w:rFonts w:ascii="Cambria Math" w:hAnsi="Cambria Math"/>
              </w:rPr>
              <m:t>pi</m:t>
            </m:r>
          </m:sub>
        </m:sSub>
        <m:r>
          <w:rPr>
            <w:rFonts w:ascii="Cambria Math" w:hAnsi="Cambria Math"/>
          </w:rPr>
          <m:t>=</m:t>
        </m:r>
        <m:sSub>
          <m:sSubPr>
            <m:ctrlPr>
              <w:rPr>
                <w:rFonts w:ascii="Cambria Math" w:hAnsi="Cambria Math"/>
                <w:lang w:val="en-AU" w:eastAsia="zh-CN"/>
              </w:rPr>
            </m:ctrlPr>
          </m:sSubPr>
          <m:e>
            <m:r>
              <w:rPr>
                <w:rFonts w:ascii="Cambria Math" w:hAnsi="Cambria Math"/>
              </w:rPr>
              <m:t>σ</m:t>
            </m:r>
          </m:e>
          <m:sub>
            <m:r>
              <w:rPr>
                <w:rFonts w:ascii="Cambria Math" w:hAnsi="Cambria Math"/>
              </w:rPr>
              <m:t>g</m:t>
            </m:r>
          </m:sub>
        </m:sSub>
        <m:r>
          <w:rPr>
            <w:rFonts w:ascii="Cambria Math" w:hAnsi="Cambria Math"/>
          </w:rPr>
          <m:t>=0.98</m:t>
        </m:r>
      </m:oMath>
      <w:r w:rsidRPr="00082ABC">
        <w:rPr>
          <w:rFonts w:hint="eastAsia"/>
        </w:rPr>
        <w:t>,</w:t>
      </w:r>
      <w:r w:rsidRPr="00082ABC">
        <w:t xml:space="preserve"> the optimal concession period decided is 45 years during which a win-win situation can be created.</w:t>
      </w:r>
    </w:p>
    <w:p w:rsidR="00082ABC" w:rsidRDefault="00082ABC" w:rsidP="00082ABC">
      <w:pPr>
        <w:rPr>
          <w:lang w:eastAsia="en-US"/>
        </w:rPr>
      </w:pPr>
    </w:p>
    <w:p w:rsidR="00082ABC" w:rsidRDefault="00082ABC" w:rsidP="00082ABC">
      <w:pPr>
        <w:pStyle w:val="SectionSub-heading"/>
      </w:pPr>
      <w:r w:rsidRPr="00082ABC">
        <w:t>Risk verification</w:t>
      </w:r>
    </w:p>
    <w:p w:rsidR="00B15FC5" w:rsidRDefault="00082ABC" w:rsidP="00082ABC">
      <w:r w:rsidRPr="00082ABC">
        <w:t xml:space="preserve">Figure </w:t>
      </w:r>
      <w:r w:rsidR="00B83758">
        <w:t>5</w:t>
      </w:r>
      <w:r w:rsidRPr="00082ABC">
        <w:t xml:space="preserve"> indicates that the probability of suffering loss from the project each year is less than 8%, which illustrates that the project itself has</w:t>
      </w:r>
      <w:r w:rsidRPr="00082ABC">
        <w:rPr>
          <w:rFonts w:hint="eastAsia"/>
        </w:rPr>
        <w:t xml:space="preserve"> </w:t>
      </w:r>
      <w:r w:rsidRPr="00082ABC">
        <w:t xml:space="preserve">a low-risk inclination and provides a reason that the value of the abandonment option is so small. Next, a 1000 times path simulation is run to see the applicability of the designed concession period in risk control. The risk control ability of the designed concession period is measured via the risk verification model. The outcomes show that the possibilities of suffering risk events for private investors within the concession interval of 41 to 45 years </w:t>
      </w:r>
      <w:r w:rsidRPr="00082ABC">
        <w:rPr>
          <w:rFonts w:hint="eastAsia"/>
        </w:rPr>
        <w:t>are</w:t>
      </w:r>
      <w:r w:rsidRPr="00082ABC">
        <w:t xml:space="preserve"> 4.6%, 4.2%, 4.5%, 3.6%, and 3.3% respectively, while for the governments at the post-transfer stage the percentages are 1.7%, 2.0%, 1.6%, 1.7%, and 2.3% respectively. The results of</w:t>
      </w:r>
      <w:r w:rsidRPr="00082ABC">
        <w:rPr>
          <w:rFonts w:hint="eastAsia"/>
        </w:rPr>
        <w:t xml:space="preserve"> </w:t>
      </w:r>
      <w:r w:rsidRPr="00082ABC">
        <w:t xml:space="preserve">the risk verification process show that all the concession periods located in the interval are found to be eligible to control both parties’ risk within 10%. </w:t>
      </w:r>
      <w:r w:rsidRPr="00082ABC">
        <w:rPr>
          <w:rFonts w:hint="eastAsia"/>
        </w:rPr>
        <w:t>S</w:t>
      </w:r>
      <w:r w:rsidRPr="00082ABC">
        <w:t xml:space="preserve">ince </w:t>
      </w:r>
      <w:r w:rsidRPr="00082ABC">
        <w:rPr>
          <w:rFonts w:hint="eastAsia"/>
        </w:rPr>
        <w:t>the</w:t>
      </w:r>
      <w:r w:rsidRPr="00082ABC">
        <w:t xml:space="preserve"> possibilities of suffering risk events for both parties are within their risk acceptance caps, the risk transfer process is not needed for this project. Hence, the optimal concession period </w:t>
      </w:r>
      <w:r w:rsidRPr="00082ABC">
        <w:rPr>
          <w:rFonts w:hint="eastAsia"/>
        </w:rPr>
        <w:t>is</w:t>
      </w:r>
      <w:r w:rsidRPr="00082ABC">
        <w:t xml:space="preserve"> kept at 45</w:t>
      </w:r>
      <w:r w:rsidR="00EA043F">
        <w:t xml:space="preserve"> years.      </w:t>
      </w:r>
      <w:r w:rsidR="00B15FC5">
        <w:t xml:space="preserve"> </w:t>
      </w:r>
    </w:p>
    <w:p w:rsidR="00EA043F" w:rsidRDefault="00B15FC5" w:rsidP="00082ABC">
      <w:r>
        <w:t xml:space="preserve">           </w:t>
      </w:r>
      <w:r w:rsidR="00EA043F" w:rsidRPr="00EA043F">
        <w:rPr>
          <w:noProof/>
        </w:rPr>
        <w:drawing>
          <wp:inline distT="0" distB="0" distL="0" distR="0" wp14:anchorId="0AE114EB" wp14:editId="77EC3789">
            <wp:extent cx="4496124" cy="2447778"/>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04292" cy="2452225"/>
                    </a:xfrm>
                    <a:prstGeom prst="rect">
                      <a:avLst/>
                    </a:prstGeom>
                  </pic:spPr>
                </pic:pic>
              </a:graphicData>
            </a:graphic>
          </wp:inline>
        </w:drawing>
      </w:r>
      <w:r w:rsidR="00082ABC" w:rsidRPr="00082ABC">
        <w:t xml:space="preserve"> </w:t>
      </w:r>
    </w:p>
    <w:p w:rsidR="00B15FC5" w:rsidRPr="00EA043F" w:rsidRDefault="00EA043F" w:rsidP="00B15FC5">
      <w:pPr>
        <w:pStyle w:val="References"/>
        <w:ind w:leftChars="50" w:left="120" w:firstLineChars="350" w:firstLine="770"/>
      </w:pPr>
      <w:r w:rsidRPr="00EA043F">
        <w:t xml:space="preserve">   </w:t>
      </w:r>
      <w:r w:rsidR="00B15FC5">
        <w:t xml:space="preserve">        </w:t>
      </w:r>
      <w:r w:rsidRPr="00EA043F">
        <w:rPr>
          <w:rFonts w:hint="eastAsia"/>
        </w:rPr>
        <w:t>F</w:t>
      </w:r>
      <w:r w:rsidRPr="00EA043F">
        <w:t xml:space="preserve">ig. </w:t>
      </w:r>
      <w:r w:rsidR="00B83758">
        <w:t>5</w:t>
      </w:r>
      <w:r w:rsidRPr="00EA043F">
        <w:t xml:space="preserve"> The probability of suffering loss at each step interval</w:t>
      </w:r>
    </w:p>
    <w:p w:rsidR="00082ABC" w:rsidRPr="00EA043F" w:rsidRDefault="00B15FC5" w:rsidP="00B15FC5">
      <w:pPr>
        <w:pStyle w:val="SectionHeading"/>
      </w:pPr>
      <w:r w:rsidRPr="00082ABC">
        <w:t>C</w:t>
      </w:r>
      <w:r w:rsidRPr="00082ABC">
        <w:rPr>
          <w:rFonts w:hint="eastAsia"/>
        </w:rPr>
        <w:t>onclusion</w:t>
      </w:r>
    </w:p>
    <w:p w:rsidR="00082ABC" w:rsidRPr="00082ABC" w:rsidRDefault="00082ABC" w:rsidP="00082ABC">
      <w:r w:rsidRPr="00082ABC">
        <w:rPr>
          <w:rFonts w:hint="eastAsia"/>
        </w:rPr>
        <w:t>One</w:t>
      </w:r>
      <w:r w:rsidRPr="00082ABC">
        <w:t xml:space="preserve"> of the keys to the successful operation of PPP projects is to determine the concession term properly. Previous models </w:t>
      </w:r>
      <w:r w:rsidRPr="00082ABC">
        <w:rPr>
          <w:rFonts w:hint="eastAsia"/>
        </w:rPr>
        <w:t>paid t</w:t>
      </w:r>
      <w:r w:rsidRPr="00082ABC">
        <w:t xml:space="preserve">oo much attention to the profitability of private investors while neglecting the capacity of the concession period in risk </w:t>
      </w:r>
      <w:r w:rsidRPr="00082ABC">
        <w:lastRenderedPageBreak/>
        <w:t>control.</w:t>
      </w:r>
      <w:r w:rsidRPr="00082ABC">
        <w:rPr>
          <w:rFonts w:hint="eastAsia"/>
        </w:rPr>
        <w:t xml:space="preserve"> Thi</w:t>
      </w:r>
      <w:r w:rsidRPr="00082ABC">
        <w:t xml:space="preserve">s research proposes an optimal concession period determination method aiming to create a win-win situation between private investors and governments as well as control the financial risk for both parties. Expanded NPV analysis is adopted ton reflect the income for the private investors more accurately. Through the </w:t>
      </w:r>
      <w:r w:rsidRPr="00082ABC">
        <w:rPr>
          <w:rFonts w:hint="eastAsia"/>
        </w:rPr>
        <w:t>r</w:t>
      </w:r>
      <w:r w:rsidRPr="00082ABC">
        <w:t xml:space="preserve">isk verification process, 1000 times GBM paths of uncertain variables are generated. If the risk probability for one party exceeds their risk tolerance range while the risk for the other project party is still under control, </w:t>
      </w:r>
      <w:r w:rsidRPr="00082ABC">
        <w:rPr>
          <w:rFonts w:hint="eastAsia"/>
        </w:rPr>
        <w:t>the</w:t>
      </w:r>
      <w:r w:rsidRPr="00082ABC">
        <w:t xml:space="preserve"> risk transfer model is designed to transfer the risk under this condition.</w:t>
      </w:r>
    </w:p>
    <w:p w:rsidR="00082ABC" w:rsidRPr="00082ABC" w:rsidRDefault="00082ABC" w:rsidP="00082ABC"/>
    <w:p w:rsidR="00082ABC" w:rsidRDefault="00082ABC" w:rsidP="00082ABC">
      <w:r w:rsidRPr="00082ABC">
        <w:t xml:space="preserve">The Project BA is used as a numerical example to justify the proposed model. By passing through the concession period determination process, the optimal concession period is decided </w:t>
      </w:r>
      <w:r w:rsidRPr="00082ABC">
        <w:rPr>
          <w:rFonts w:hint="eastAsia"/>
        </w:rPr>
        <w:t>during</w:t>
      </w:r>
      <w:r w:rsidRPr="00082ABC">
        <w:t xml:space="preserve"> which the private investor can earn higher than their expected return on investment while under the revenue control of the government. Additionally, the risk o</w:t>
      </w:r>
      <w:r w:rsidRPr="00082ABC">
        <w:rPr>
          <w:rFonts w:hint="eastAsia"/>
        </w:rPr>
        <w:t>f deficit</w:t>
      </w:r>
      <w:r w:rsidRPr="00082ABC">
        <w:t xml:space="preserve"> for each party is controlled to be under 10%. The application shows that the designed models are effective tools for PPP projects in the decision-making of the length of the concession period.</w:t>
      </w:r>
    </w:p>
    <w:p w:rsidR="007D0E00" w:rsidRDefault="007D0E00" w:rsidP="00082ABC"/>
    <w:p w:rsidR="007D0E00" w:rsidRPr="00082ABC" w:rsidRDefault="007D0E00" w:rsidP="007D0E00">
      <w:r w:rsidRPr="00082ABC">
        <w:rPr>
          <w:rFonts w:hint="eastAsia"/>
        </w:rPr>
        <w:t>T</w:t>
      </w:r>
      <w:r w:rsidRPr="00082ABC">
        <w:t>he real option chosen in this research is the option to abandon, but the analysis shows that there is no change in the concession period threshold whether the real option value is accounted for or not. This outcome may arise from the relatively small value of the abandonment option. However, there are many other real options embodied in PPP projects, and this paper cannot cover them all. An assumption that can be made here is that a project with a positive growth rate may involve a non-ignorable</w:t>
      </w:r>
      <w:r w:rsidRPr="00082ABC">
        <w:rPr>
          <w:rFonts w:hint="eastAsia"/>
        </w:rPr>
        <w:t xml:space="preserve"> value</w:t>
      </w:r>
      <w:r w:rsidRPr="00082ABC">
        <w:t xml:space="preserve"> of the expansion option, especially when the project </w:t>
      </w:r>
      <w:r w:rsidRPr="00082ABC">
        <w:rPr>
          <w:rFonts w:hint="eastAsia"/>
        </w:rPr>
        <w:t>operates</w:t>
      </w:r>
      <w:r w:rsidRPr="00082ABC">
        <w:t xml:space="preserve"> in stages. Future research could focus on this and figure out the influence of the expansion option on the concession period thresholds. </w:t>
      </w:r>
    </w:p>
    <w:p w:rsidR="007D0E00" w:rsidRDefault="007D0E00" w:rsidP="00082ABC"/>
    <w:p w:rsidR="007D0E00" w:rsidRPr="007D0E00" w:rsidRDefault="007D0E00" w:rsidP="007D0E00">
      <w:pPr>
        <w:pStyle w:val="SectionHeading"/>
      </w:pPr>
      <w:r>
        <w:t>References</w:t>
      </w:r>
    </w:p>
    <w:p w:rsidR="007D0E00" w:rsidRPr="00082ABC" w:rsidRDefault="007D0E00" w:rsidP="007D0E00">
      <w:pPr>
        <w:pStyle w:val="References"/>
      </w:pPr>
      <w:r w:rsidRPr="00082ABC">
        <w:t>Banister, D., 2005. Unsustainable transport: city transport in the new century. London, UK: Taylor &amp; Francis.</w:t>
      </w:r>
    </w:p>
    <w:p w:rsidR="001D7FEA" w:rsidRPr="00082ABC" w:rsidRDefault="001D7FEA" w:rsidP="001D7FEA">
      <w:pPr>
        <w:pStyle w:val="References"/>
      </w:pPr>
      <w:proofErr w:type="spellStart"/>
      <w:r w:rsidRPr="00082ABC">
        <w:t>Brandao</w:t>
      </w:r>
      <w:proofErr w:type="spellEnd"/>
      <w:r w:rsidRPr="00082ABC">
        <w:t xml:space="preserve">, L. E. T., Saraiva, E., 2008. The option value of government guarantees in infrastructure projects. Construction Management and Economics, 26(11), 1171-1180. </w:t>
      </w:r>
    </w:p>
    <w:p w:rsidR="001D7FEA" w:rsidRPr="00082ABC" w:rsidRDefault="001D7FEA" w:rsidP="001D7FEA">
      <w:pPr>
        <w:pStyle w:val="References"/>
      </w:pPr>
      <w:proofErr w:type="spellStart"/>
      <w:r w:rsidRPr="00082ABC">
        <w:t>Bulnina</w:t>
      </w:r>
      <w:proofErr w:type="spellEnd"/>
      <w:r w:rsidRPr="00082ABC">
        <w:t xml:space="preserve">, I., </w:t>
      </w:r>
      <w:proofErr w:type="spellStart"/>
      <w:r w:rsidRPr="00082ABC">
        <w:t>Askhatova</w:t>
      </w:r>
      <w:proofErr w:type="spellEnd"/>
      <w:r w:rsidRPr="00082ABC">
        <w:t xml:space="preserve">, L., </w:t>
      </w:r>
      <w:proofErr w:type="spellStart"/>
      <w:r w:rsidRPr="00082ABC">
        <w:t>Kabasheva</w:t>
      </w:r>
      <w:proofErr w:type="spellEnd"/>
      <w:r w:rsidRPr="00082ABC">
        <w:t xml:space="preserve">, I., </w:t>
      </w:r>
      <w:proofErr w:type="spellStart"/>
      <w:r w:rsidRPr="00082ABC">
        <w:t>Rudaleva</w:t>
      </w:r>
      <w:proofErr w:type="spellEnd"/>
      <w:r w:rsidRPr="00082ABC">
        <w:t xml:space="preserve">, I., 2015. Public and Private Partnership as a Mechanism of Government and Business Cooperation. Mediterranean Journal of Social Sciences, 6(1 S3), 453. </w:t>
      </w:r>
    </w:p>
    <w:p w:rsidR="001D7FEA" w:rsidRPr="00082ABC" w:rsidRDefault="001D7FEA" w:rsidP="001D7FEA">
      <w:pPr>
        <w:pStyle w:val="References"/>
      </w:pPr>
      <w:r w:rsidRPr="00082ABC">
        <w:t xml:space="preserve">Carbonara, N., Costantino, N., Pellegrino, R., 2014. Concession period for PPPs: A win–win model for a fair risk sharing. International Journal of Project Management, 32(7), 1223-1232. </w:t>
      </w:r>
    </w:p>
    <w:p w:rsidR="001D7FEA" w:rsidRPr="00082ABC" w:rsidRDefault="001D7FEA" w:rsidP="001D7FEA">
      <w:pPr>
        <w:pStyle w:val="References"/>
      </w:pPr>
      <w:r w:rsidRPr="00082ABC">
        <w:t xml:space="preserve">Cheah, C. Y., Garvin, M. J., 2009. Application of real options in PPP infrastructure projects: opportunities and challenges. Policy, Finance &amp; Management for Public-Private Partnerships. Wiley-Blackwell, 229-249. </w:t>
      </w:r>
    </w:p>
    <w:p w:rsidR="001D7FEA" w:rsidRPr="00082ABC" w:rsidRDefault="001D7FEA" w:rsidP="001D7FEA">
      <w:pPr>
        <w:pStyle w:val="References"/>
      </w:pPr>
      <w:r w:rsidRPr="00082ABC">
        <w:t xml:space="preserve">Daube, D., Vollrath, S., </w:t>
      </w:r>
      <w:proofErr w:type="spellStart"/>
      <w:r w:rsidRPr="00082ABC">
        <w:t>Alfen</w:t>
      </w:r>
      <w:proofErr w:type="spellEnd"/>
      <w:r w:rsidRPr="00082ABC">
        <w:t xml:space="preserve">, H. W., 2008. A comparison of Project Finance and the Forfeiting Model as financing forms for PPP projects in Germany. International Journal of Project Management, 26(4), 376-387. </w:t>
      </w:r>
    </w:p>
    <w:p w:rsidR="001D7FEA" w:rsidRPr="00082ABC" w:rsidRDefault="001D7FEA" w:rsidP="001D7FEA">
      <w:pPr>
        <w:pStyle w:val="References"/>
      </w:pPr>
      <w:r w:rsidRPr="00082ABC">
        <w:lastRenderedPageBreak/>
        <w:t xml:space="preserve">Dixit, A. K., </w:t>
      </w:r>
      <w:proofErr w:type="spellStart"/>
      <w:r w:rsidRPr="00082ABC">
        <w:t>Pindyck</w:t>
      </w:r>
      <w:proofErr w:type="spellEnd"/>
      <w:r w:rsidRPr="00082ABC">
        <w:t>, R. S., 1994. Investment under uncertainty. Princeton, USA: Princeton university press.</w:t>
      </w:r>
    </w:p>
    <w:p w:rsidR="001D7FEA" w:rsidRPr="00082ABC" w:rsidRDefault="001D7FEA" w:rsidP="001D7FEA">
      <w:pPr>
        <w:pStyle w:val="References"/>
      </w:pPr>
      <w:bookmarkStart w:id="6" w:name="_ENREF_10"/>
      <w:r w:rsidRPr="00082ABC">
        <w:t xml:space="preserve">Hanaoka, S., </w:t>
      </w:r>
      <w:proofErr w:type="spellStart"/>
      <w:r w:rsidRPr="00082ABC">
        <w:t>Palapus</w:t>
      </w:r>
      <w:proofErr w:type="spellEnd"/>
      <w:r w:rsidRPr="00082ABC">
        <w:t xml:space="preserve">, H. P., 2012. Reasonable concession period for build-operate-transfer road projects in the Philippines. International Journal of Project Management, 30(8), 938-949. </w:t>
      </w:r>
      <w:bookmarkEnd w:id="6"/>
    </w:p>
    <w:p w:rsidR="001D7FEA" w:rsidRPr="00082ABC" w:rsidRDefault="001D7FEA" w:rsidP="001D7FEA">
      <w:pPr>
        <w:pStyle w:val="References"/>
      </w:pPr>
      <w:r w:rsidRPr="00082ABC">
        <w:t xml:space="preserve">Hull, J., 2010. Options, Futures, and Other Derivatives, 7/e (With CD). Delhi, India: Pearson Education India. </w:t>
      </w:r>
    </w:p>
    <w:p w:rsidR="001D7FEA" w:rsidRPr="00082ABC" w:rsidRDefault="001D7FEA" w:rsidP="001D7FEA">
      <w:pPr>
        <w:pStyle w:val="References"/>
      </w:pPr>
      <w:bookmarkStart w:id="7" w:name="_ENREF_12"/>
      <w:r w:rsidRPr="00082ABC">
        <w:t xml:space="preserve">Hwang, B.-G., Zhao, X., Gay, M. J. S., 2013. Public private partnership projects in Singapore: Factors, critical risks and preferred risk allocation from the perspective of contractors. International Journal of Project Management, 31(3), 424-433. </w:t>
      </w:r>
      <w:bookmarkEnd w:id="7"/>
    </w:p>
    <w:p w:rsidR="001D7FEA" w:rsidRPr="00082ABC" w:rsidRDefault="001D7FEA" w:rsidP="001D7FEA">
      <w:pPr>
        <w:pStyle w:val="References"/>
      </w:pPr>
      <w:r w:rsidRPr="00082ABC">
        <w:t>Irwin, T., 2003. Public money for private infrastructure: deciding when to offer guarantees, output-based subsidies, and other fiscal support. Washington, USA: World Bank Publications.</w:t>
      </w:r>
    </w:p>
    <w:p w:rsidR="001D7FEA" w:rsidRPr="00082ABC" w:rsidRDefault="001D7FEA" w:rsidP="001D7FEA">
      <w:pPr>
        <w:pStyle w:val="References"/>
      </w:pPr>
      <w:bookmarkStart w:id="8" w:name="_ENREF_14"/>
      <w:proofErr w:type="spellStart"/>
      <w:r w:rsidRPr="00082ABC">
        <w:t>Khanzadi</w:t>
      </w:r>
      <w:proofErr w:type="spellEnd"/>
      <w:r w:rsidRPr="00082ABC">
        <w:t xml:space="preserve">, M., </w:t>
      </w:r>
      <w:proofErr w:type="spellStart"/>
      <w:r w:rsidRPr="00082ABC">
        <w:t>Nasirzadeh</w:t>
      </w:r>
      <w:proofErr w:type="spellEnd"/>
      <w:r w:rsidRPr="00082ABC">
        <w:t xml:space="preserve">, F., </w:t>
      </w:r>
      <w:proofErr w:type="spellStart"/>
      <w:r w:rsidRPr="00082ABC">
        <w:t>Alipour</w:t>
      </w:r>
      <w:proofErr w:type="spellEnd"/>
      <w:r w:rsidRPr="00082ABC">
        <w:t xml:space="preserve">, M., 2012. Integrating system dynamics and fuzzy logic </w:t>
      </w:r>
      <w:proofErr w:type="spellStart"/>
      <w:r w:rsidRPr="00082ABC">
        <w:t>modeling</w:t>
      </w:r>
      <w:proofErr w:type="spellEnd"/>
      <w:r w:rsidRPr="00082ABC">
        <w:t xml:space="preserve"> to determine concession period in BOT projects. Automation in Construction, 22, 368-376. </w:t>
      </w:r>
      <w:bookmarkEnd w:id="8"/>
    </w:p>
    <w:p w:rsidR="001D7FEA" w:rsidRPr="00082ABC" w:rsidRDefault="001D7FEA" w:rsidP="001D7FEA">
      <w:pPr>
        <w:pStyle w:val="References"/>
      </w:pPr>
      <w:bookmarkStart w:id="9" w:name="_ENREF_15"/>
      <w:proofErr w:type="spellStart"/>
      <w:r w:rsidRPr="00082ABC">
        <w:t>Kremljak</w:t>
      </w:r>
      <w:proofErr w:type="spellEnd"/>
      <w:r w:rsidRPr="00082ABC">
        <w:t xml:space="preserve">, Z., </w:t>
      </w:r>
      <w:proofErr w:type="spellStart"/>
      <w:r w:rsidRPr="00082ABC">
        <w:t>Palcic</w:t>
      </w:r>
      <w:proofErr w:type="spellEnd"/>
      <w:r w:rsidRPr="00082ABC">
        <w:t xml:space="preserve">, I., </w:t>
      </w:r>
      <w:proofErr w:type="spellStart"/>
      <w:r w:rsidRPr="00082ABC">
        <w:t>Kafol</w:t>
      </w:r>
      <w:proofErr w:type="spellEnd"/>
      <w:r w:rsidRPr="00082ABC">
        <w:t xml:space="preserve">, C., 2014. Project evaluation using cost-time investment simulation. International Journal of Simulation Modelling, 13(4), 447-457. </w:t>
      </w:r>
      <w:bookmarkEnd w:id="9"/>
    </w:p>
    <w:p w:rsidR="001D7FEA" w:rsidRPr="00082ABC" w:rsidRDefault="001D7FEA" w:rsidP="001D7FEA">
      <w:pPr>
        <w:pStyle w:val="References"/>
      </w:pPr>
      <w:bookmarkStart w:id="10" w:name="_ENREF_16"/>
      <w:proofErr w:type="spellStart"/>
      <w:r w:rsidRPr="00082ABC">
        <w:t>Laffont</w:t>
      </w:r>
      <w:proofErr w:type="spellEnd"/>
      <w:r w:rsidRPr="00082ABC">
        <w:t xml:space="preserve">, J.-J., </w:t>
      </w:r>
      <w:proofErr w:type="spellStart"/>
      <w:r w:rsidRPr="00082ABC">
        <w:t>Martimort</w:t>
      </w:r>
      <w:proofErr w:type="spellEnd"/>
      <w:r w:rsidRPr="00082ABC">
        <w:t>, D., 2009. The theory of incentives: the principal-agent model. Princeton, USA: Princeton university press.</w:t>
      </w:r>
      <w:bookmarkEnd w:id="10"/>
    </w:p>
    <w:p w:rsidR="001D7FEA" w:rsidRPr="00082ABC" w:rsidRDefault="001D7FEA" w:rsidP="001D7FEA">
      <w:pPr>
        <w:pStyle w:val="References"/>
      </w:pPr>
      <w:bookmarkStart w:id="11" w:name="_ENREF_17"/>
      <w:proofErr w:type="spellStart"/>
      <w:r w:rsidRPr="00082ABC">
        <w:t>Leviäkangas</w:t>
      </w:r>
      <w:proofErr w:type="spellEnd"/>
      <w:r w:rsidRPr="00082ABC">
        <w:t xml:space="preserve">, P., </w:t>
      </w:r>
      <w:proofErr w:type="spellStart"/>
      <w:r w:rsidRPr="00082ABC">
        <w:t>Lähesmaa</w:t>
      </w:r>
      <w:proofErr w:type="spellEnd"/>
      <w:r w:rsidRPr="00082ABC">
        <w:t xml:space="preserve">, J., 2002. Profitability evaluation of intelligent transport system investments. Journal of Transportation Engineering, 128(3), 276-286. </w:t>
      </w:r>
      <w:bookmarkEnd w:id="11"/>
    </w:p>
    <w:p w:rsidR="001D7FEA" w:rsidRDefault="001D7FEA" w:rsidP="001D7FEA">
      <w:pPr>
        <w:pStyle w:val="References"/>
      </w:pPr>
      <w:bookmarkStart w:id="12" w:name="_ENREF_18"/>
      <w:r w:rsidRPr="00082ABC">
        <w:t xml:space="preserve">Liu, J., Gao, R., Cheah, C. Y., Luo, J., 2016. Incentive mechanism for inhibiting investors' opportunistic </w:t>
      </w:r>
      <w:proofErr w:type="spellStart"/>
      <w:r w:rsidRPr="00082ABC">
        <w:t>behavior</w:t>
      </w:r>
      <w:proofErr w:type="spellEnd"/>
      <w:r w:rsidRPr="00082ABC">
        <w:t xml:space="preserve"> in PPP projects. International Journal of Project Management, 34(7), 1102-1111. </w:t>
      </w:r>
      <w:bookmarkEnd w:id="12"/>
    </w:p>
    <w:p w:rsidR="001D7FEA" w:rsidRPr="00082ABC" w:rsidRDefault="001D7FEA" w:rsidP="001D7FEA">
      <w:pPr>
        <w:pStyle w:val="References"/>
      </w:pPr>
      <w:bookmarkStart w:id="13" w:name="_ENREF_20"/>
      <w:r w:rsidRPr="00082ABC">
        <w:t>Nuer, A. T. K., 2015. Exit strategies for social venture entrepreneurs. Wageningen, Netherlands: Wageningen University.</w:t>
      </w:r>
      <w:bookmarkEnd w:id="13"/>
    </w:p>
    <w:p w:rsidR="001D7FEA" w:rsidRPr="00082ABC" w:rsidRDefault="001D7FEA" w:rsidP="001D7FEA">
      <w:pPr>
        <w:pStyle w:val="References"/>
      </w:pPr>
      <w:bookmarkStart w:id="14" w:name="_ENREF_21"/>
      <w:r w:rsidRPr="00082ABC">
        <w:t xml:space="preserve">Smit, H. T., </w:t>
      </w:r>
      <w:proofErr w:type="spellStart"/>
      <w:r w:rsidRPr="00082ABC">
        <w:t>Trigeorgis</w:t>
      </w:r>
      <w:proofErr w:type="spellEnd"/>
      <w:r w:rsidRPr="00082ABC">
        <w:t>, L., 2012. Strategic investment: Real options and games. Princeton, USA: Princeton University Press.</w:t>
      </w:r>
      <w:bookmarkEnd w:id="14"/>
    </w:p>
    <w:p w:rsidR="001D7FEA" w:rsidRPr="00082ABC" w:rsidRDefault="001D7FEA" w:rsidP="001D7FEA">
      <w:pPr>
        <w:pStyle w:val="References"/>
      </w:pPr>
      <w:bookmarkStart w:id="15" w:name="_ENREF_23"/>
      <w:r w:rsidRPr="00082ABC">
        <w:t xml:space="preserve">Song, J., Song, D., Zhang, D., 2015. </w:t>
      </w:r>
      <w:proofErr w:type="spellStart"/>
      <w:r w:rsidRPr="00082ABC">
        <w:t>Modeling</w:t>
      </w:r>
      <w:proofErr w:type="spellEnd"/>
      <w:r w:rsidRPr="00082ABC">
        <w:t xml:space="preserve"> the concession period and subsidy for bot waste-to-energy incineration projects. Journal of Construction Engineering and Management, 141(10), 04015033. </w:t>
      </w:r>
      <w:bookmarkEnd w:id="15"/>
    </w:p>
    <w:p w:rsidR="001D7FEA" w:rsidRPr="00082ABC" w:rsidRDefault="001D7FEA" w:rsidP="001D7FEA">
      <w:pPr>
        <w:pStyle w:val="References"/>
      </w:pPr>
      <w:proofErr w:type="spellStart"/>
      <w:r w:rsidRPr="00082ABC">
        <w:t>Trigeorgis</w:t>
      </w:r>
      <w:proofErr w:type="spellEnd"/>
      <w:r w:rsidRPr="00082ABC">
        <w:t xml:space="preserve">, L., </w:t>
      </w:r>
      <w:proofErr w:type="spellStart"/>
      <w:r w:rsidRPr="00082ABC">
        <w:t>Reuer</w:t>
      </w:r>
      <w:proofErr w:type="spellEnd"/>
      <w:r w:rsidRPr="00082ABC">
        <w:t>, J. J., 2017. Real options theory in strategic management. Strategic     Management Journal, 38(1), 42-63.</w:t>
      </w:r>
    </w:p>
    <w:p w:rsidR="001D7FEA" w:rsidRPr="00082ABC" w:rsidRDefault="001D7FEA" w:rsidP="001D7FEA">
      <w:pPr>
        <w:pStyle w:val="References"/>
      </w:pPr>
      <w:bookmarkStart w:id="16" w:name="_ENREF_24"/>
      <w:r w:rsidRPr="00082ABC">
        <w:t>Vega-Redondo, F., 1996. Evolution, games, and economic behaviour. Oxford, UK: Oxford University Press.</w:t>
      </w:r>
      <w:bookmarkEnd w:id="16"/>
    </w:p>
    <w:p w:rsidR="001D7FEA" w:rsidRPr="00975040" w:rsidRDefault="001D7FEA" w:rsidP="001D7FEA">
      <w:pPr>
        <w:pStyle w:val="References"/>
      </w:pPr>
      <w:bookmarkStart w:id="17" w:name="_ENREF_28"/>
      <w:r w:rsidRPr="00082ABC">
        <w:t xml:space="preserve">Yeo, K., </w:t>
      </w:r>
      <w:proofErr w:type="spellStart"/>
      <w:r w:rsidRPr="00082ABC">
        <w:t>Qiu</w:t>
      </w:r>
      <w:proofErr w:type="spellEnd"/>
      <w:r w:rsidRPr="00082ABC">
        <w:t>, F., 2003. The value of management f</w:t>
      </w:r>
      <w:r w:rsidRPr="00975040">
        <w:t xml:space="preserve">lexibility—a real option approach to investment evaluation. International Journal of Project Management, 21(4), 243-250. </w:t>
      </w:r>
      <w:bookmarkEnd w:id="17"/>
    </w:p>
    <w:p w:rsidR="001D7FEA" w:rsidRPr="00975040" w:rsidRDefault="001D7FEA" w:rsidP="001D7FEA">
      <w:pPr>
        <w:pStyle w:val="References"/>
      </w:pPr>
      <w:bookmarkStart w:id="18" w:name="_ENREF_29"/>
      <w:r w:rsidRPr="00975040">
        <w:t xml:space="preserve">Zhang, X., 2009. Win–win concession period determination methodology. Journal of Construction Engineering and Management, 135(6), 550-558. </w:t>
      </w:r>
      <w:bookmarkEnd w:id="18"/>
    </w:p>
    <w:p w:rsidR="00082ABC" w:rsidRDefault="001D7FEA" w:rsidP="00235CCA">
      <w:pPr>
        <w:pStyle w:val="References"/>
      </w:pPr>
      <w:r w:rsidRPr="00975040">
        <w:t>Zou, W., Kumaraswamy, M., Chung, J., Wong, J., 2014. Identifying the critical success factors for relationship management in PPP projects. International Journal of Project Management, 32(2), 265-274.</w:t>
      </w:r>
      <w:r w:rsidRPr="00082ABC">
        <w:t xml:space="preserve"> </w:t>
      </w:r>
    </w:p>
    <w:sectPr w:rsidR="00082ABC" w:rsidSect="002B438D">
      <w:footerReference w:type="default" r:id="rId19"/>
      <w:pgSz w:w="11906" w:h="16838" w:code="9"/>
      <w:pgMar w:top="1440" w:right="1440" w:bottom="1440" w:left="2155" w:header="709" w:footer="709"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mask="1" wne:kcmPrimary="0272"/>
    <wne:keymap wne:mask="1" wne:kcmPrimary="0A0C"/>
    <wne:keymap wne:mask="1" wne:kcmPrimary="1031"/>
    <wne:keymap wne:mask="1" wne:kcmPrimary="1032"/>
    <wne:keymap wne:mask="1" wne:kcmPrimary="1035"/>
    <wne:keymap wne:kcmPrimary="1042">
      <wne:acd wne:acdName="acd20"/>
    </wne:keymap>
    <wne:keymap wne:mask="1" wne:kcmPrimary="1044"/>
    <wne:keymap wne:mask="1" wne:kcmPrimary="1045"/>
    <wne:keymap wne:kcmPrimary="1049">
      <wne:acd wne:acdName="acd21"/>
    </wne:keymap>
    <wne:keymap wne:mask="1" wne:kcmPrimary="104A"/>
    <wne:keymap wne:mask="1" wne:kcmPrimary="104C"/>
    <wne:keymap wne:mask="1" wne:kcmPrimary="104D"/>
    <wne:keymap wne:mask="1" wne:kcmPrimary="1052"/>
    <wne:keymap wne:mask="1" wne:kcmPrimary="1054"/>
    <wne:keymap wne:mask="1" wne:kcmPrimary="1055"/>
    <wne:keymap wne:mask="1" wne:kcmPrimary="10BB"/>
    <wne:keymap wne:mask="1" wne:kcmPrimary="10DB"/>
    <wne:keymap wne:mask="1" wne:kcmPrimary="10DD"/>
    <wne:keymap wne:mask="1" wne:kcmPrimary="1241"/>
    <wne:keymap wne:mask="1" wne:kcmPrimary="1244"/>
    <wne:keymap wne:mask="1" wne:kcmPrimary="1248"/>
    <wne:keymap wne:mask="1" wne:kcmPrimary="124B"/>
    <wne:keymap wne:mask="1" wne:kcmPrimary="124C"/>
    <wne:keymap wne:mask="1" wne:kcmPrimary="124D"/>
    <wne:keymap wne:mask="1" wne:kcmPrimary="124E"/>
    <wne:keymap wne:mask="1" wne:kcmPrimary="1250"/>
    <wne:keymap wne:mask="1" wne:kcmPrimary="1251"/>
    <wne:keymap wne:mask="1" wne:kcmPrimary="1253"/>
    <wne:keymap wne:mask="1" wne:kcmPrimary="1254"/>
    <wne:keymap wne:mask="1" wne:kcmPrimary="1255"/>
    <wne:keymap wne:mask="1" wne:kcmPrimary="1257"/>
    <wne:keymap wne:mask="1" wne:kcmPrimary="12BB"/>
    <wne:keymap wne:mask="1" wne:kcmPrimary="12BC"/>
    <wne:keymap wne:mask="1" wne:kcmPrimary="12BE"/>
    <wne:keymap wne:mask="1" wne:kcmPrimary="1831"/>
    <wne:keymap wne:mask="1" wne:kcmPrimary="1832"/>
    <wne:keymap wne:mask="1" wne:kcmPrimary="1833"/>
    <wne:keymap wne:mask="1" wne:kcmPrimary="184B"/>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Manifest>
    <wne:toolbarData r:id="rId1"/>
  </wne:toolbars>
  <wne:acds>
    <wne:acd wne:argValue="AgBQAGEAcABlAHIAXwBUAGkAdABsAGUA" wne:acdName="acd0" wne:fciIndexBasedOn="0065"/>
    <wne:acd wne:argValue="AgBBAHUAdABoAG8AcgA=" wne:acdName="acd1" wne:fciIndexBasedOn="0065"/>
    <wne:acd wne:argValue="AgBBAGQAZAByAGUAcwBzAA==" wne:acdName="acd2" wne:fciIndexBasedOn="0065"/>
    <wne:acd wne:argValue="AgBBAGIAcwB0AHIAYQBjAHQA" wne:acdName="acd3" wne:fciIndexBasedOn="0065"/>
    <wne:acd wne:argValue="AgBLAGUAeQB3AG8AcgBkAHMA" wne:acdName="acd4" wne:fciIndexBasedOn="0065"/>
    <wne:acd wne:argValue="AgBTAGUAYwB0AGkAbwBuAF8ASABlAGEAZABpAG4AZwA=" wne:acdName="acd5" wne:fciIndexBasedOn="0065"/>
    <wne:acd wne:argValue="AgBTAGUAYwB0AGkAbwBuAF8AUwB1AGIALQBoAGUAYQBkAGkAbgBnAA==" wne:acdName="acd6" wne:fciIndexBasedOn="0065"/>
    <wne:acd wne:acdName="acd7" wne:fciIndexBasedOn="0065"/>
    <wne:acd wne:argValue="AgBCAHUAbABsAGUAdABfAEwAaQBzAHQA" wne:acdName="acd8" wne:fciIndexBasedOn="0065"/>
    <wne:acd wne:argValue="AgBOAHUAbQBiAGUAcgBlAGQAXwBMAGkAcwB0AA==" wne:acdName="acd9" wne:fciIndexBasedOn="0065"/>
    <wne:acd wne:argValue="AgBDAGEAcAB0AGkAbwBuAHMA" wne:acdName="acd10" wne:fciIndexBasedOn="0065"/>
    <wne:acd wne:argValue="AQAAACYA" wne:acdName="acd11" wne:fciIndexBasedOn="0065"/>
    <wne:acd wne:argValue="AgBUAGEAYgBsAGUAXwBDAG8AbgB0AGUAbgB0AHMALQBMAGUAZgB0AA==" wne:acdName="acd12" wne:fciIndexBasedOn="0065"/>
    <wne:acd wne:argValue="AgBUAGEAYgBsAGUAXwBDAG8AbgB0AGUAbgB0AHMALQBSAGkAZwBoAHQA" wne:acdName="acd13" wne:fciIndexBasedOn="0065"/>
    <wne:acd wne:argValue="AgBSAGUAZgBlAHIAZQBuAGMAZQBzAA==" wne:acdName="acd14" wne:fciIndexBasedOn="0065"/>
    <wne:acd wne:argValue="AQAAAAAA" wne:acdName="acd15" wne:fciIndexBasedOn="0065"/>
    <wne:acd wne:argValue="AgBNAGkAbgBvAHIAXwBIAGUAYQBkAGkAbgBnAA==" wne:acdName="acd16" wne:fciIndexBasedOn="0065"/>
    <wne:acd wne:acdName="acd17" wne:fciIndexBasedOn="0065"/>
    <wne:acd wne:argValue="AQAAAB0A" wne:acdName="acd18" wne:fciIndexBasedOn="0065"/>
    <wne:acd wne:acdName="acd19" wne:fciIndexBasedOn="0065"/>
    <wne:acd wne:argValue="AgBTAHQAeQBsAGUAIABSAGUAZgBlAHIAZQBuAGMAZQBzACAAKwAgAEIAbwBsAGQA" wne:acdName="acd20" wne:fciIndexBasedOn="0065"/>
    <wne:acd wne:argValue="AgBTAHQAeQBsAGUAIABSAGUAZgBlAHIAZQBuAGMAZQBzACAAKwAgAEkAdABhAGwAaQBjAA==" wne:acdName="acd2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75FF" w:rsidRDefault="003375FF">
      <w:r>
        <w:separator/>
      </w:r>
    </w:p>
  </w:endnote>
  <w:endnote w:type="continuationSeparator" w:id="0">
    <w:p w:rsidR="003375FF" w:rsidRDefault="00337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043F" w:rsidRDefault="00EA043F">
    <w:pPr>
      <w:spacing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043F" w:rsidRDefault="00EA043F">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043F" w:rsidRDefault="00EA043F">
    <w:pPr>
      <w:spacing w:after="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043F" w:rsidRPr="00886275" w:rsidRDefault="00EA043F" w:rsidP="00EA043F">
    <w:pPr>
      <w:jc w:val="center"/>
      <w:rPr>
        <w:lang w:val="en-A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75FF" w:rsidRDefault="003375FF">
      <w:r>
        <w:separator/>
      </w:r>
    </w:p>
  </w:footnote>
  <w:footnote w:type="continuationSeparator" w:id="0">
    <w:p w:rsidR="003375FF" w:rsidRDefault="00337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043F" w:rsidRDefault="00EA043F">
    <w:pP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043F" w:rsidRDefault="00EA043F">
    <w:pP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043F" w:rsidRDefault="00EA043F">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7A862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9B851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134A52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968D0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B9486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F00E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C5262D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55AC9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C6AB4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6A23E9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463C0B"/>
    <w:multiLevelType w:val="multilevel"/>
    <w:tmpl w:val="6ED8BA20"/>
    <w:styleLink w:val="StyleBulleted"/>
    <w:lvl w:ilvl="0">
      <w:start w:val="1"/>
      <w:numFmt w:val="bullet"/>
      <w:lvlText w:val=""/>
      <w:lvlJc w:val="left"/>
      <w:pPr>
        <w:tabs>
          <w:tab w:val="num" w:pos="720"/>
        </w:tabs>
        <w:ind w:left="108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513ABD"/>
    <w:multiLevelType w:val="multilevel"/>
    <w:tmpl w:val="6980F016"/>
    <w:lvl w:ilvl="0">
      <w:start w:val="1"/>
      <w:numFmt w:val="bullet"/>
      <w:pStyle w:val="BulletList"/>
      <w:lvlText w:val=""/>
      <w:lvlJc w:val="left"/>
      <w:pPr>
        <w:tabs>
          <w:tab w:val="num" w:pos="720"/>
        </w:tabs>
        <w:ind w:left="108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7A2133"/>
    <w:multiLevelType w:val="multilevel"/>
    <w:tmpl w:val="6ED8BA20"/>
    <w:numStyleLink w:val="StyleBulleted"/>
  </w:abstractNum>
  <w:abstractNum w:abstractNumId="13" w15:restartNumberingAfterBreak="0">
    <w:nsid w:val="1A9A3CF3"/>
    <w:multiLevelType w:val="multilevel"/>
    <w:tmpl w:val="C876EC96"/>
    <w:lvl w:ilvl="0">
      <w:start w:val="1"/>
      <w:numFmt w:val="decimal"/>
      <w:lvlText w:val="%1."/>
      <w:lvlJc w:val="left"/>
      <w:pPr>
        <w:ind w:left="480" w:hanging="480"/>
      </w:pPr>
    </w:lvl>
    <w:lvl w:ilvl="1">
      <w:start w:val="1"/>
      <w:numFmt w:val="decimal"/>
      <w:isLgl/>
      <w:lvlText w:val="%1.%2"/>
      <w:lvlJc w:val="left"/>
      <w:pPr>
        <w:ind w:left="840" w:hanging="3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640" w:hanging="720"/>
      </w:pPr>
      <w:rPr>
        <w:rFonts w:hint="default"/>
      </w:rPr>
    </w:lvl>
    <w:lvl w:ilvl="5">
      <w:start w:val="1"/>
      <w:numFmt w:val="decimal"/>
      <w:isLgl/>
      <w:lvlText w:val="%1.%2.%3.%4.%5.%6"/>
      <w:lvlJc w:val="left"/>
      <w:pPr>
        <w:ind w:left="3480" w:hanging="1080"/>
      </w:pPr>
      <w:rPr>
        <w:rFonts w:hint="default"/>
      </w:rPr>
    </w:lvl>
    <w:lvl w:ilvl="6">
      <w:start w:val="1"/>
      <w:numFmt w:val="decimal"/>
      <w:isLgl/>
      <w:lvlText w:val="%1.%2.%3.%4.%5.%6.%7"/>
      <w:lvlJc w:val="left"/>
      <w:pPr>
        <w:ind w:left="3960" w:hanging="1080"/>
      </w:pPr>
      <w:rPr>
        <w:rFonts w:hint="default"/>
      </w:rPr>
    </w:lvl>
    <w:lvl w:ilvl="7">
      <w:start w:val="1"/>
      <w:numFmt w:val="decimal"/>
      <w:isLgl/>
      <w:lvlText w:val="%1.%2.%3.%4.%5.%6.%7.%8"/>
      <w:lvlJc w:val="left"/>
      <w:pPr>
        <w:ind w:left="4800" w:hanging="1440"/>
      </w:pPr>
      <w:rPr>
        <w:rFonts w:hint="default"/>
      </w:rPr>
    </w:lvl>
    <w:lvl w:ilvl="8">
      <w:start w:val="1"/>
      <w:numFmt w:val="decimal"/>
      <w:isLgl/>
      <w:lvlText w:val="%1.%2.%3.%4.%5.%6.%7.%8.%9"/>
      <w:lvlJc w:val="left"/>
      <w:pPr>
        <w:ind w:left="5280" w:hanging="1440"/>
      </w:pPr>
      <w:rPr>
        <w:rFonts w:hint="default"/>
      </w:rPr>
    </w:lvl>
  </w:abstractNum>
  <w:abstractNum w:abstractNumId="14" w15:restartNumberingAfterBreak="0">
    <w:nsid w:val="2C3C3E70"/>
    <w:multiLevelType w:val="hybridMultilevel"/>
    <w:tmpl w:val="FFB801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E3026E5"/>
    <w:multiLevelType w:val="hybridMultilevel"/>
    <w:tmpl w:val="A48AEA0E"/>
    <w:lvl w:ilvl="0" w:tplc="23C46A84">
      <w:start w:val="5"/>
      <w:numFmt w:val="decimal"/>
      <w:lvlText w:val="%1."/>
      <w:lvlJc w:val="left"/>
      <w:pPr>
        <w:ind w:left="360" w:hanging="360"/>
      </w:pPr>
      <w:rPr>
        <w:rFonts w:hint="default"/>
      </w:rPr>
    </w:lvl>
    <w:lvl w:ilvl="1" w:tplc="CFA224DA" w:tentative="1">
      <w:start w:val="1"/>
      <w:numFmt w:val="lowerLetter"/>
      <w:lvlText w:val="%2)"/>
      <w:lvlJc w:val="left"/>
      <w:pPr>
        <w:ind w:left="960" w:hanging="480"/>
      </w:pPr>
    </w:lvl>
    <w:lvl w:ilvl="2" w:tplc="081469E2" w:tentative="1">
      <w:start w:val="1"/>
      <w:numFmt w:val="lowerRoman"/>
      <w:lvlText w:val="%3."/>
      <w:lvlJc w:val="right"/>
      <w:pPr>
        <w:ind w:left="1440" w:hanging="480"/>
      </w:pPr>
    </w:lvl>
    <w:lvl w:ilvl="3" w:tplc="67244408" w:tentative="1">
      <w:start w:val="1"/>
      <w:numFmt w:val="decimal"/>
      <w:lvlText w:val="%4."/>
      <w:lvlJc w:val="left"/>
      <w:pPr>
        <w:ind w:left="1920" w:hanging="480"/>
      </w:pPr>
    </w:lvl>
    <w:lvl w:ilvl="4" w:tplc="72D86648" w:tentative="1">
      <w:start w:val="1"/>
      <w:numFmt w:val="lowerLetter"/>
      <w:lvlText w:val="%5)"/>
      <w:lvlJc w:val="left"/>
      <w:pPr>
        <w:ind w:left="2400" w:hanging="480"/>
      </w:pPr>
    </w:lvl>
    <w:lvl w:ilvl="5" w:tplc="6FA0CCD8" w:tentative="1">
      <w:start w:val="1"/>
      <w:numFmt w:val="lowerRoman"/>
      <w:lvlText w:val="%6."/>
      <w:lvlJc w:val="right"/>
      <w:pPr>
        <w:ind w:left="2880" w:hanging="480"/>
      </w:pPr>
    </w:lvl>
    <w:lvl w:ilvl="6" w:tplc="070A663C" w:tentative="1">
      <w:start w:val="1"/>
      <w:numFmt w:val="decimal"/>
      <w:lvlText w:val="%7."/>
      <w:lvlJc w:val="left"/>
      <w:pPr>
        <w:ind w:left="3360" w:hanging="480"/>
      </w:pPr>
    </w:lvl>
    <w:lvl w:ilvl="7" w:tplc="64A8EB2C" w:tentative="1">
      <w:start w:val="1"/>
      <w:numFmt w:val="lowerLetter"/>
      <w:lvlText w:val="%8)"/>
      <w:lvlJc w:val="left"/>
      <w:pPr>
        <w:ind w:left="3840" w:hanging="480"/>
      </w:pPr>
    </w:lvl>
    <w:lvl w:ilvl="8" w:tplc="8C2276C6" w:tentative="1">
      <w:start w:val="1"/>
      <w:numFmt w:val="lowerRoman"/>
      <w:lvlText w:val="%9."/>
      <w:lvlJc w:val="right"/>
      <w:pPr>
        <w:ind w:left="4320" w:hanging="480"/>
      </w:pPr>
    </w:lvl>
  </w:abstractNum>
  <w:abstractNum w:abstractNumId="16" w15:restartNumberingAfterBreak="0">
    <w:nsid w:val="61E67E81"/>
    <w:multiLevelType w:val="hybridMultilevel"/>
    <w:tmpl w:val="810C3290"/>
    <w:lvl w:ilvl="0" w:tplc="13D8AB06">
      <w:start w:val="1"/>
      <w:numFmt w:val="decimal"/>
      <w:pStyle w:val="NumberedList"/>
      <w:lvlText w:val="%1."/>
      <w:lvlJc w:val="left"/>
      <w:pPr>
        <w:tabs>
          <w:tab w:val="num" w:pos="640"/>
        </w:tabs>
        <w:ind w:left="640" w:hanging="283"/>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66301EFE"/>
    <w:multiLevelType w:val="hybridMultilevel"/>
    <w:tmpl w:val="66343A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B64243E"/>
    <w:multiLevelType w:val="hybridMultilevel"/>
    <w:tmpl w:val="4FB0823E"/>
    <w:lvl w:ilvl="0" w:tplc="873C96A6">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8"/>
  </w:num>
  <w:num w:numId="3">
    <w:abstractNumId w:val="10"/>
  </w:num>
  <w:num w:numId="4">
    <w:abstractNumId w:val="12"/>
  </w:num>
  <w:num w:numId="5">
    <w:abstractNumId w:val="11"/>
  </w:num>
  <w:num w:numId="6">
    <w:abstractNumId w:val="14"/>
  </w:num>
  <w:num w:numId="7">
    <w:abstractNumId w:val="16"/>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3"/>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mirrorMargins/>
  <w:bordersDoNotSurroundHeader/>
  <w:bordersDoNotSurroundFooter/>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1" w:cryptProviderType="rsaAES" w:cryptAlgorithmClass="hash" w:cryptAlgorithmType="typeAny" w:cryptAlgorithmSid="14" w:cryptSpinCount="100000" w:hash="LWlEN4wXuydH0CKA91BKQqiNBq4SqF4J1oUnlmz8COiMjGo2xb+B3y0urXCwVupbtjiCPIHnchyYomnPTxvmrg==" w:salt="CTDI3XDdSuTSkY0OHZ7CPA=="/>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ayNLEwMjAzt7A0NzVU0lEKTi0uzszPAykwrAUAzvQBLSwAAAA="/>
  </w:docVars>
  <w:rsids>
    <w:rsidRoot w:val="00BD5711"/>
    <w:rsid w:val="00027CB5"/>
    <w:rsid w:val="0008130E"/>
    <w:rsid w:val="00082ABC"/>
    <w:rsid w:val="00093327"/>
    <w:rsid w:val="001D7FEA"/>
    <w:rsid w:val="00202BE9"/>
    <w:rsid w:val="00235CCA"/>
    <w:rsid w:val="002B438D"/>
    <w:rsid w:val="0030392C"/>
    <w:rsid w:val="003375FF"/>
    <w:rsid w:val="003A7800"/>
    <w:rsid w:val="00402EC4"/>
    <w:rsid w:val="004924DD"/>
    <w:rsid w:val="004F6115"/>
    <w:rsid w:val="005B1AE8"/>
    <w:rsid w:val="00615D4F"/>
    <w:rsid w:val="006B11A0"/>
    <w:rsid w:val="006B66AB"/>
    <w:rsid w:val="006D151A"/>
    <w:rsid w:val="00741845"/>
    <w:rsid w:val="007532AD"/>
    <w:rsid w:val="007D0E00"/>
    <w:rsid w:val="00916A20"/>
    <w:rsid w:val="00921E2B"/>
    <w:rsid w:val="009366F2"/>
    <w:rsid w:val="00972DBD"/>
    <w:rsid w:val="00975040"/>
    <w:rsid w:val="00A07037"/>
    <w:rsid w:val="00B14A54"/>
    <w:rsid w:val="00B15FC5"/>
    <w:rsid w:val="00B25F33"/>
    <w:rsid w:val="00B42450"/>
    <w:rsid w:val="00B83758"/>
    <w:rsid w:val="00BC28BE"/>
    <w:rsid w:val="00BD5711"/>
    <w:rsid w:val="00DD62E4"/>
    <w:rsid w:val="00E5707B"/>
    <w:rsid w:val="00E6361F"/>
    <w:rsid w:val="00EA043F"/>
    <w:rsid w:val="00EE4A20"/>
    <w:rsid w:val="00F26452"/>
    <w:rsid w:val="00F459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6E1C7CC-06B2-E04E-B652-5D8101123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DengXia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semiHidden="1" w:unhideWhenUsed="1"/>
    <w:lsdException w:name="annotation subjec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20"/>
    </w:pPr>
    <w:rPr>
      <w:sz w:val="24"/>
      <w:szCs w:val="24"/>
      <w:lang w:val="en-GB" w:eastAsia="en-GB"/>
    </w:rPr>
  </w:style>
  <w:style w:type="paragraph" w:styleId="Heading1">
    <w:name w:val="heading 1"/>
    <w:basedOn w:val="Normal"/>
    <w:next w:val="Normal"/>
    <w:qFormat/>
    <w:locked/>
    <w:pPr>
      <w:keepNext/>
      <w:spacing w:before="240" w:after="60"/>
      <w:outlineLvl w:val="0"/>
    </w:pPr>
    <w:rPr>
      <w:rFonts w:ascii="Arial" w:hAnsi="Arial" w:cs="Arial"/>
      <w:b/>
      <w:bCs/>
      <w:kern w:val="32"/>
      <w:sz w:val="32"/>
      <w:szCs w:val="32"/>
    </w:rPr>
  </w:style>
  <w:style w:type="paragraph" w:styleId="Heading2">
    <w:name w:val="heading 2"/>
    <w:basedOn w:val="Normal"/>
    <w:next w:val="BodyText"/>
    <w:qFormat/>
    <w:locked/>
    <w:pPr>
      <w:keepNext/>
      <w:outlineLvl w:val="1"/>
    </w:pPr>
    <w:rPr>
      <w:b/>
      <w:caps/>
      <w:sz w:val="32"/>
      <w:szCs w:val="20"/>
      <w:lang w:eastAsia="en-US"/>
    </w:rPr>
  </w:style>
  <w:style w:type="paragraph" w:styleId="Heading3">
    <w:name w:val="heading 3"/>
    <w:basedOn w:val="Normal"/>
    <w:next w:val="BodyText"/>
    <w:qFormat/>
    <w:locked/>
    <w:pPr>
      <w:keepNext/>
      <w:spacing w:before="120"/>
      <w:ind w:left="720" w:hanging="720"/>
      <w:outlineLvl w:val="2"/>
    </w:pPr>
    <w:rPr>
      <w:b/>
      <w:caps/>
      <w:sz w:val="28"/>
      <w:szCs w:val="20"/>
      <w:lang w:eastAsia="en-US"/>
    </w:rPr>
  </w:style>
  <w:style w:type="paragraph" w:styleId="Heading4">
    <w:name w:val="heading 4"/>
    <w:basedOn w:val="Normal"/>
    <w:next w:val="Normal"/>
    <w:qFormat/>
    <w:locked/>
    <w:pPr>
      <w:keepNext/>
      <w:keepLines/>
      <w:spacing w:before="120"/>
      <w:outlineLvl w:val="3"/>
    </w:pPr>
    <w:rPr>
      <w:b/>
      <w:szCs w:val="20"/>
      <w:lang w:eastAsia="en-US"/>
    </w:rPr>
  </w:style>
  <w:style w:type="paragraph" w:styleId="Heading5">
    <w:name w:val="heading 5"/>
    <w:basedOn w:val="Heading4"/>
    <w:next w:val="Normal"/>
    <w:qFormat/>
    <w:locked/>
    <w:pPr>
      <w:spacing w:before="0" w:after="0"/>
      <w:outlineLvl w:val="4"/>
    </w:pPr>
    <w:rPr>
      <w:b w:val="0"/>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ocked/>
    <w:pPr>
      <w:spacing w:after="0"/>
    </w:pPr>
  </w:style>
  <w:style w:type="paragraph" w:customStyle="1" w:styleId="PaperTitle">
    <w:name w:val="Paper_Title"/>
    <w:basedOn w:val="Heading2"/>
    <w:next w:val="Author"/>
    <w:pPr>
      <w:spacing w:after="240"/>
    </w:pPr>
  </w:style>
  <w:style w:type="paragraph" w:customStyle="1" w:styleId="Author">
    <w:name w:val="Author"/>
    <w:basedOn w:val="Normal"/>
    <w:next w:val="Address"/>
    <w:pPr>
      <w:spacing w:after="280"/>
    </w:pPr>
    <w:rPr>
      <w:b/>
      <w:szCs w:val="20"/>
      <w:lang w:eastAsia="en-US"/>
    </w:rPr>
  </w:style>
  <w:style w:type="character" w:styleId="FootnoteReference">
    <w:name w:val="footnote reference"/>
    <w:semiHidden/>
    <w:rPr>
      <w:vertAlign w:val="superscript"/>
    </w:rPr>
  </w:style>
  <w:style w:type="paragraph" w:styleId="FootnoteText">
    <w:name w:val="footnote text"/>
    <w:basedOn w:val="Normal"/>
    <w:semiHidden/>
    <w:rPr>
      <w:sz w:val="20"/>
      <w:szCs w:val="20"/>
      <w:lang w:eastAsia="en-US"/>
    </w:rPr>
  </w:style>
  <w:style w:type="paragraph" w:customStyle="1" w:styleId="Address">
    <w:name w:val="Address"/>
    <w:basedOn w:val="Normal"/>
    <w:next w:val="Abstract"/>
    <w:pPr>
      <w:ind w:left="720" w:hanging="720"/>
    </w:pPr>
    <w:rPr>
      <w:i/>
      <w:sz w:val="20"/>
      <w:szCs w:val="20"/>
      <w:lang w:eastAsia="en-US"/>
    </w:rPr>
  </w:style>
  <w:style w:type="paragraph" w:customStyle="1" w:styleId="Abstract">
    <w:name w:val="Abstract"/>
    <w:basedOn w:val="Normal"/>
    <w:next w:val="Keywords"/>
    <w:pPr>
      <w:spacing w:before="480" w:after="480"/>
      <w:ind w:left="709" w:right="709"/>
    </w:pPr>
    <w:rPr>
      <w:sz w:val="20"/>
      <w:szCs w:val="20"/>
      <w:lang w:eastAsia="en-US"/>
    </w:rPr>
  </w:style>
  <w:style w:type="paragraph" w:customStyle="1" w:styleId="Keywords">
    <w:name w:val="Keywords"/>
    <w:basedOn w:val="Normal"/>
    <w:next w:val="SectionHeading"/>
    <w:pPr>
      <w:keepLines/>
      <w:spacing w:after="1080"/>
      <w:ind w:left="709" w:right="709"/>
    </w:pPr>
    <w:rPr>
      <w:sz w:val="20"/>
      <w:szCs w:val="20"/>
      <w:lang w:eastAsia="en-US"/>
    </w:rPr>
  </w:style>
  <w:style w:type="paragraph" w:customStyle="1" w:styleId="StyleCaptionsBold">
    <w:name w:val="Style Captions + Bold"/>
    <w:basedOn w:val="Captions"/>
    <w:link w:val="StyleCaptionsBoldChar"/>
    <w:locked/>
    <w:rPr>
      <w:bCs/>
      <w:i w:val="0"/>
    </w:rPr>
  </w:style>
  <w:style w:type="paragraph" w:customStyle="1" w:styleId="TableContents-Left">
    <w:name w:val="Table_Contents-Left"/>
    <w:basedOn w:val="Normal"/>
    <w:pPr>
      <w:keepNext/>
      <w:keepLines/>
    </w:pPr>
    <w:rPr>
      <w:sz w:val="20"/>
    </w:rPr>
  </w:style>
  <w:style w:type="paragraph" w:customStyle="1" w:styleId="TableContents-Right">
    <w:name w:val="Table_Contents-Right"/>
    <w:basedOn w:val="Normal"/>
    <w:pPr>
      <w:keepNext/>
      <w:keepLines/>
      <w:jc w:val="right"/>
    </w:pPr>
    <w:rPr>
      <w:sz w:val="20"/>
      <w:szCs w:val="20"/>
      <w:lang w:eastAsia="en-US"/>
    </w:rPr>
  </w:style>
  <w:style w:type="paragraph" w:customStyle="1" w:styleId="SectionHeading">
    <w:name w:val="Section_Heading"/>
    <w:basedOn w:val="Heading3"/>
    <w:next w:val="Normal"/>
  </w:style>
  <w:style w:type="paragraph" w:customStyle="1" w:styleId="SectionSub-heading">
    <w:name w:val="Section_Sub-heading"/>
    <w:basedOn w:val="Heading4"/>
    <w:next w:val="Normal"/>
  </w:style>
  <w:style w:type="paragraph" w:customStyle="1" w:styleId="References">
    <w:name w:val="References"/>
    <w:basedOn w:val="Normal"/>
    <w:link w:val="ReferencesChar"/>
    <w:pPr>
      <w:keepLines/>
      <w:ind w:left="720" w:hanging="720"/>
    </w:pPr>
    <w:rPr>
      <w:sz w:val="22"/>
      <w:szCs w:val="20"/>
      <w:lang w:eastAsia="en-US"/>
    </w:rPr>
  </w:style>
  <w:style w:type="numbering" w:customStyle="1" w:styleId="StyleBulleted">
    <w:name w:val="Style Bulleted"/>
    <w:basedOn w:val="NoList"/>
    <w:locked/>
    <w:pPr>
      <w:numPr>
        <w:numId w:val="3"/>
      </w:numPr>
    </w:pPr>
  </w:style>
  <w:style w:type="paragraph" w:customStyle="1" w:styleId="BulletList">
    <w:name w:val="Bullet_List"/>
    <w:basedOn w:val="BodyText"/>
    <w:pPr>
      <w:numPr>
        <w:numId w:val="5"/>
      </w:numPr>
      <w:ind w:left="714" w:hanging="357"/>
    </w:pPr>
    <w:rPr>
      <w:lang w:eastAsia="en-US"/>
    </w:rPr>
  </w:style>
  <w:style w:type="paragraph" w:customStyle="1" w:styleId="NumberedList">
    <w:name w:val="Numbered_List"/>
    <w:basedOn w:val="BodyText"/>
    <w:pPr>
      <w:numPr>
        <w:numId w:val="7"/>
      </w:numPr>
      <w:tabs>
        <w:tab w:val="clear" w:pos="640"/>
        <w:tab w:val="left" w:pos="720"/>
      </w:tabs>
      <w:ind w:left="714" w:hanging="357"/>
    </w:pPr>
  </w:style>
  <w:style w:type="character" w:customStyle="1" w:styleId="StyleCaptionsBoldChar">
    <w:name w:val="Style Captions + Bold Char"/>
    <w:link w:val="StyleCaptionsBold"/>
    <w:rPr>
      <w:bCs/>
      <w:i/>
      <w:sz w:val="22"/>
      <w:szCs w:val="24"/>
      <w:lang w:val="en-GB" w:eastAsia="en-GB" w:bidi="ar-SA"/>
    </w:rPr>
  </w:style>
  <w:style w:type="paragraph" w:styleId="ListBullet">
    <w:name w:val="List Bullet"/>
    <w:basedOn w:val="Normal"/>
    <w:locked/>
    <w:pPr>
      <w:numPr>
        <w:numId w:val="8"/>
      </w:numPr>
    </w:pPr>
  </w:style>
  <w:style w:type="character" w:styleId="Hyperlink">
    <w:name w:val="Hyperlink"/>
    <w:rPr>
      <w:color w:val="0000FF"/>
      <w:u w:val="single"/>
    </w:rPr>
  </w:style>
  <w:style w:type="paragraph" w:customStyle="1" w:styleId="TableContents-Centre">
    <w:name w:val="Table_Contents-Centre"/>
    <w:basedOn w:val="TableContents-Right"/>
    <w:locked/>
  </w:style>
  <w:style w:type="table" w:styleId="TableGrid">
    <w:name w:val="Table Grid"/>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s">
    <w:name w:val="Captions"/>
    <w:basedOn w:val="Normal"/>
    <w:next w:val="Normal"/>
    <w:link w:val="CaptionsCharChar"/>
    <w:pPr>
      <w:keepNext/>
      <w:keepLines/>
    </w:pPr>
    <w:rPr>
      <w:i/>
      <w:sz w:val="22"/>
    </w:rPr>
  </w:style>
  <w:style w:type="character" w:customStyle="1" w:styleId="CaptionsCharChar">
    <w:name w:val="Captions Char Char"/>
    <w:link w:val="Captions"/>
    <w:rPr>
      <w:i/>
      <w:sz w:val="22"/>
      <w:szCs w:val="24"/>
      <w:lang w:val="en-GB" w:eastAsia="en-GB" w:bidi="ar-SA"/>
    </w:rPr>
  </w:style>
  <w:style w:type="paragraph" w:customStyle="1" w:styleId="MinorHeading">
    <w:name w:val="Minor_Heading"/>
    <w:basedOn w:val="Heading5"/>
    <w:next w:val="Normal"/>
  </w:style>
  <w:style w:type="paragraph" w:customStyle="1" w:styleId="ReferencesItalic">
    <w:name w:val="References_Italic"/>
    <w:basedOn w:val="References"/>
    <w:next w:val="References"/>
    <w:link w:val="ReferencesItalicChar"/>
    <w:locked/>
    <w:rPr>
      <w:i/>
    </w:rPr>
  </w:style>
  <w:style w:type="character" w:customStyle="1" w:styleId="ReferencesChar">
    <w:name w:val="References Char"/>
    <w:link w:val="References"/>
    <w:rPr>
      <w:sz w:val="22"/>
      <w:lang w:val="en-GB" w:eastAsia="en-US" w:bidi="ar-SA"/>
    </w:rPr>
  </w:style>
  <w:style w:type="character" w:customStyle="1" w:styleId="ReferencesItalicChar">
    <w:name w:val="References_Italic Char"/>
    <w:link w:val="ReferencesItalic"/>
    <w:rPr>
      <w:i/>
      <w:sz w:val="22"/>
      <w:lang w:val="en-GB" w:eastAsia="en-US" w:bidi="ar-SA"/>
    </w:rPr>
  </w:style>
  <w:style w:type="paragraph" w:customStyle="1" w:styleId="References-Bold">
    <w:name w:val="References-Bold"/>
    <w:basedOn w:val="References"/>
    <w:link w:val="References-BoldChar"/>
    <w:locked/>
    <w:rPr>
      <w:b/>
    </w:rPr>
  </w:style>
  <w:style w:type="character" w:customStyle="1" w:styleId="References-BoldChar">
    <w:name w:val="References-Bold Char"/>
    <w:link w:val="References-Bold"/>
    <w:rPr>
      <w:b/>
      <w:sz w:val="22"/>
      <w:lang w:val="en-GB" w:eastAsia="en-US" w:bidi="ar-SA"/>
    </w:rPr>
  </w:style>
  <w:style w:type="paragraph" w:customStyle="1" w:styleId="StyleReferencesBold">
    <w:name w:val="Style References + Bold"/>
    <w:basedOn w:val="References"/>
    <w:link w:val="StyleReferencesBoldChar"/>
    <w:locked/>
    <w:rPr>
      <w:b/>
      <w:bCs/>
    </w:rPr>
  </w:style>
  <w:style w:type="character" w:customStyle="1" w:styleId="StyleReferencesBoldChar">
    <w:name w:val="Style References + Bold Char"/>
    <w:link w:val="StyleReferencesBold"/>
    <w:rPr>
      <w:b/>
      <w:bCs/>
      <w:sz w:val="22"/>
      <w:lang w:val="en-GB" w:eastAsia="en-US" w:bidi="ar-SA"/>
    </w:rPr>
  </w:style>
  <w:style w:type="paragraph" w:customStyle="1" w:styleId="StyleReferencesItalic">
    <w:name w:val="Style References + Italic"/>
    <w:basedOn w:val="References"/>
    <w:link w:val="StyleReferencesItalicChar"/>
    <w:locked/>
    <w:rPr>
      <w:i/>
      <w:iCs/>
    </w:rPr>
  </w:style>
  <w:style w:type="character" w:customStyle="1" w:styleId="StyleReferencesItalicChar">
    <w:name w:val="Style References + Italic Char"/>
    <w:link w:val="StyleReferencesItalic"/>
    <w:rPr>
      <w:i/>
      <w:iCs/>
      <w:sz w:val="22"/>
      <w:lang w:val="en-GB" w:eastAsia="en-US" w:bidi="ar-SA"/>
    </w:rPr>
  </w:style>
  <w:style w:type="paragraph" w:styleId="Header">
    <w:name w:val="header"/>
    <w:basedOn w:val="Normal"/>
    <w:locked/>
    <w:pPr>
      <w:tabs>
        <w:tab w:val="center" w:pos="4153"/>
        <w:tab w:val="right" w:pos="8306"/>
      </w:tabs>
    </w:pPr>
  </w:style>
  <w:style w:type="paragraph" w:styleId="Footer">
    <w:name w:val="footer"/>
    <w:basedOn w:val="Normal"/>
    <w:locked/>
    <w:pPr>
      <w:tabs>
        <w:tab w:val="center" w:pos="4153"/>
        <w:tab w:val="right" w:pos="830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iso-8859-1"/>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13</Pages>
  <Words>7480</Words>
  <Characters>42642</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ARCOM_Paper_Template</vt:lpstr>
    </vt:vector>
  </TitlesOfParts>
  <Company>Loughborough University</Company>
  <LinksUpToDate>false</LinksUpToDate>
  <CharactersWithSpaces>50022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ARCOM_Paper_Template</dc:title>
  <dc:subject/>
  <dc:creator>Chris Carter;Dominic Ahiaga-Dagbui</dc:creator>
  <cp:keywords/>
  <cp:lastModifiedBy>Hongyu (Howie) Jin</cp:lastModifiedBy>
  <cp:revision>16</cp:revision>
  <cp:lastPrinted>2015-01-07T04:40:00Z</cp:lastPrinted>
  <dcterms:created xsi:type="dcterms:W3CDTF">2019-05-10T04:45:00Z</dcterms:created>
  <dcterms:modified xsi:type="dcterms:W3CDTF">2019-07-03T00:20:00Z</dcterms:modified>
</cp:coreProperties>
</file>