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71A00" w14:textId="187ADDBA" w:rsidR="00D22205" w:rsidRPr="00126B2F" w:rsidRDefault="00D22205" w:rsidP="00F7771F">
      <w:pPr>
        <w:spacing w:after="0" w:line="360" w:lineRule="auto"/>
        <w:rPr>
          <w:rFonts w:cs="Times New Roman"/>
          <w:b/>
          <w:sz w:val="24"/>
          <w:szCs w:val="24"/>
        </w:rPr>
      </w:pPr>
      <w:bookmarkStart w:id="0" w:name="_Hlk47886978"/>
      <w:r w:rsidRPr="00126B2F">
        <w:rPr>
          <w:rFonts w:cs="Times New Roman"/>
          <w:b/>
          <w:sz w:val="24"/>
          <w:szCs w:val="24"/>
        </w:rPr>
        <w:t>Paying the Piper</w:t>
      </w:r>
      <w:r w:rsidR="00D22361" w:rsidRPr="00126B2F">
        <w:rPr>
          <w:rFonts w:cs="Times New Roman"/>
          <w:b/>
          <w:sz w:val="24"/>
          <w:szCs w:val="24"/>
        </w:rPr>
        <w:t xml:space="preserve">: </w:t>
      </w:r>
      <w:r w:rsidRPr="00126B2F">
        <w:rPr>
          <w:rFonts w:cs="Times New Roman"/>
          <w:b/>
          <w:sz w:val="24"/>
          <w:szCs w:val="24"/>
        </w:rPr>
        <w:t xml:space="preserve">The governance of </w:t>
      </w:r>
      <w:r w:rsidR="00864CB2" w:rsidRPr="00126B2F">
        <w:rPr>
          <w:rFonts w:cs="Times New Roman"/>
          <w:b/>
          <w:sz w:val="24"/>
          <w:szCs w:val="24"/>
        </w:rPr>
        <w:t>vice-chancellors’</w:t>
      </w:r>
      <w:r w:rsidRPr="00126B2F">
        <w:rPr>
          <w:rFonts w:cs="Times New Roman"/>
          <w:b/>
          <w:sz w:val="24"/>
          <w:szCs w:val="24"/>
        </w:rPr>
        <w:t xml:space="preserve"> remuneration in Australian and UK universities</w:t>
      </w:r>
    </w:p>
    <w:bookmarkEnd w:id="0"/>
    <w:p w14:paraId="5BAD17B0" w14:textId="77777777" w:rsidR="00D22205" w:rsidRPr="00126B2F" w:rsidRDefault="00D22205" w:rsidP="00F7771F">
      <w:pPr>
        <w:spacing w:after="0" w:line="360" w:lineRule="auto"/>
        <w:rPr>
          <w:rFonts w:cs="Times New Roman"/>
          <w:b/>
          <w:sz w:val="24"/>
          <w:szCs w:val="24"/>
        </w:rPr>
      </w:pPr>
    </w:p>
    <w:p w14:paraId="07A6B4BE" w14:textId="77777777" w:rsidR="00D22205" w:rsidRPr="00126B2F" w:rsidRDefault="00D22205" w:rsidP="00F7771F">
      <w:pPr>
        <w:spacing w:after="0" w:line="360" w:lineRule="auto"/>
        <w:rPr>
          <w:rFonts w:cs="Times New Roman"/>
          <w:b/>
          <w:sz w:val="24"/>
          <w:szCs w:val="24"/>
        </w:rPr>
      </w:pPr>
    </w:p>
    <w:p w14:paraId="21709C91" w14:textId="3D33C476" w:rsidR="00D22205" w:rsidRPr="00126B2F" w:rsidRDefault="00D22205" w:rsidP="00F7771F">
      <w:pPr>
        <w:spacing w:after="0" w:line="360" w:lineRule="auto"/>
        <w:rPr>
          <w:rFonts w:cs="Times New Roman"/>
          <w:sz w:val="24"/>
          <w:szCs w:val="24"/>
        </w:rPr>
      </w:pPr>
      <w:r w:rsidRPr="00126B2F">
        <w:rPr>
          <w:rFonts w:cs="Times New Roman"/>
          <w:b/>
          <w:sz w:val="24"/>
          <w:szCs w:val="24"/>
        </w:rPr>
        <w:t>Rebecca Boden</w:t>
      </w:r>
      <w:r w:rsidR="00281BAD" w:rsidRPr="00126B2F">
        <w:rPr>
          <w:rFonts w:cs="Times New Roman"/>
          <w:b/>
          <w:sz w:val="24"/>
          <w:szCs w:val="24"/>
        </w:rPr>
        <w:t>*</w:t>
      </w:r>
      <w:r w:rsidRPr="00126B2F">
        <w:rPr>
          <w:rFonts w:cs="Times New Roman"/>
          <w:b/>
          <w:sz w:val="24"/>
          <w:szCs w:val="24"/>
        </w:rPr>
        <w:t xml:space="preserve"> </w:t>
      </w:r>
    </w:p>
    <w:p w14:paraId="78331B59" w14:textId="77777777" w:rsidR="00D22205" w:rsidRPr="00126B2F" w:rsidRDefault="00D22205" w:rsidP="00F7771F">
      <w:pPr>
        <w:spacing w:after="0" w:line="360" w:lineRule="auto"/>
        <w:rPr>
          <w:rFonts w:cs="Times New Roman"/>
          <w:sz w:val="24"/>
          <w:szCs w:val="24"/>
        </w:rPr>
      </w:pPr>
      <w:r w:rsidRPr="00126B2F">
        <w:rPr>
          <w:rFonts w:cs="Times New Roman"/>
          <w:sz w:val="24"/>
          <w:szCs w:val="24"/>
        </w:rPr>
        <w:t>University of Tampere, Finland</w:t>
      </w:r>
    </w:p>
    <w:p w14:paraId="5BAD19C5" w14:textId="3E8967E2" w:rsidR="00D22205" w:rsidRPr="00126B2F" w:rsidRDefault="00864CB2" w:rsidP="00F7771F">
      <w:pPr>
        <w:spacing w:after="0" w:line="360" w:lineRule="auto"/>
        <w:rPr>
          <w:rFonts w:cs="Times New Roman"/>
          <w:sz w:val="24"/>
          <w:szCs w:val="24"/>
        </w:rPr>
      </w:pPr>
      <w:r w:rsidRPr="00126B2F">
        <w:rPr>
          <w:rStyle w:val="orcid-id-https"/>
          <w:rFonts w:cs="Times New Roman"/>
          <w:color w:val="494A4C"/>
          <w:sz w:val="24"/>
          <w:szCs w:val="24"/>
          <w:shd w:val="clear" w:color="auto" w:fill="FFFFFF"/>
        </w:rPr>
        <w:t>ORCID: 0000-0001-7874-2440</w:t>
      </w:r>
    </w:p>
    <w:p w14:paraId="24858176" w14:textId="77777777" w:rsidR="00864CB2" w:rsidRPr="00126B2F" w:rsidRDefault="00864CB2" w:rsidP="00F7771F">
      <w:pPr>
        <w:spacing w:after="0" w:line="360" w:lineRule="auto"/>
        <w:rPr>
          <w:rFonts w:cs="Times New Roman"/>
          <w:sz w:val="24"/>
          <w:szCs w:val="24"/>
        </w:rPr>
      </w:pPr>
    </w:p>
    <w:p w14:paraId="1AC27EE6" w14:textId="77777777" w:rsidR="00D22205" w:rsidRPr="00126B2F" w:rsidRDefault="00D22205" w:rsidP="00F7771F">
      <w:pPr>
        <w:spacing w:after="0" w:line="360" w:lineRule="auto"/>
        <w:rPr>
          <w:rFonts w:cs="Times New Roman"/>
          <w:b/>
          <w:sz w:val="24"/>
          <w:szCs w:val="24"/>
        </w:rPr>
      </w:pPr>
      <w:r w:rsidRPr="00126B2F">
        <w:rPr>
          <w:rFonts w:cs="Times New Roman"/>
          <w:b/>
          <w:sz w:val="24"/>
          <w:szCs w:val="24"/>
        </w:rPr>
        <w:t>Julie Rowlands</w:t>
      </w:r>
    </w:p>
    <w:p w14:paraId="328AF959" w14:textId="5281E0DD" w:rsidR="00D22205" w:rsidRPr="00126B2F" w:rsidRDefault="00D22205" w:rsidP="00F7771F">
      <w:pPr>
        <w:spacing w:after="0" w:line="360" w:lineRule="auto"/>
        <w:rPr>
          <w:rFonts w:cs="Times New Roman"/>
          <w:sz w:val="24"/>
          <w:szCs w:val="24"/>
        </w:rPr>
      </w:pPr>
      <w:r w:rsidRPr="00126B2F">
        <w:rPr>
          <w:rFonts w:cs="Times New Roman"/>
          <w:sz w:val="24"/>
          <w:szCs w:val="24"/>
        </w:rPr>
        <w:t>Deakin University, Australia</w:t>
      </w:r>
    </w:p>
    <w:p w14:paraId="5B9C58DF" w14:textId="72405B85" w:rsidR="00D0011C" w:rsidRPr="00126B2F" w:rsidRDefault="00D0011C" w:rsidP="00F7771F">
      <w:pPr>
        <w:spacing w:after="0" w:line="360" w:lineRule="auto"/>
        <w:rPr>
          <w:rFonts w:cs="Times New Roman"/>
          <w:sz w:val="24"/>
          <w:szCs w:val="24"/>
        </w:rPr>
      </w:pPr>
      <w:r w:rsidRPr="00126B2F">
        <w:rPr>
          <w:rFonts w:cs="Times New Roman"/>
          <w:sz w:val="24"/>
          <w:szCs w:val="24"/>
        </w:rPr>
        <w:t xml:space="preserve">ORCID: </w:t>
      </w:r>
      <w:r w:rsidRPr="00126B2F">
        <w:rPr>
          <w:rFonts w:cs="Times New Roman"/>
          <w:color w:val="494A4C"/>
          <w:sz w:val="24"/>
          <w:szCs w:val="24"/>
          <w:shd w:val="clear" w:color="auto" w:fill="FFFFFF"/>
        </w:rPr>
        <w:t>0000-0003-1664-4209</w:t>
      </w:r>
    </w:p>
    <w:p w14:paraId="188CA33A" w14:textId="77777777" w:rsidR="00D22205" w:rsidRPr="00126B2F" w:rsidRDefault="00D22205" w:rsidP="00F7771F">
      <w:pPr>
        <w:spacing w:after="0" w:line="360" w:lineRule="auto"/>
        <w:rPr>
          <w:rFonts w:cs="Times New Roman"/>
          <w:sz w:val="24"/>
          <w:szCs w:val="24"/>
        </w:rPr>
      </w:pPr>
    </w:p>
    <w:p w14:paraId="0056D996" w14:textId="77777777" w:rsidR="000349F5" w:rsidRPr="00126B2F" w:rsidRDefault="000349F5" w:rsidP="00F7771F">
      <w:pPr>
        <w:spacing w:after="0" w:line="360" w:lineRule="auto"/>
        <w:rPr>
          <w:rFonts w:cs="Times New Roman"/>
          <w:b/>
          <w:sz w:val="24"/>
          <w:szCs w:val="24"/>
        </w:rPr>
      </w:pPr>
    </w:p>
    <w:p w14:paraId="7826C01C" w14:textId="77777777" w:rsidR="000349F5" w:rsidRPr="00126B2F" w:rsidRDefault="000349F5" w:rsidP="00F7771F">
      <w:pPr>
        <w:spacing w:after="0" w:line="360" w:lineRule="auto"/>
        <w:rPr>
          <w:rFonts w:cs="Times New Roman"/>
          <w:b/>
          <w:sz w:val="24"/>
          <w:szCs w:val="24"/>
        </w:rPr>
      </w:pPr>
    </w:p>
    <w:p w14:paraId="29E6B324" w14:textId="68DDCFC3" w:rsidR="00D0011C" w:rsidRPr="00126B2F" w:rsidRDefault="00281BAD" w:rsidP="00F7771F">
      <w:pPr>
        <w:spacing w:after="0" w:line="360" w:lineRule="auto"/>
        <w:rPr>
          <w:rFonts w:cs="Times New Roman"/>
          <w:sz w:val="24"/>
          <w:szCs w:val="24"/>
        </w:rPr>
      </w:pPr>
      <w:r w:rsidRPr="00126B2F">
        <w:rPr>
          <w:rFonts w:cs="Times New Roman"/>
          <w:sz w:val="24"/>
          <w:szCs w:val="24"/>
        </w:rPr>
        <w:t>*</w:t>
      </w:r>
      <w:r w:rsidR="000349F5" w:rsidRPr="00126B2F">
        <w:rPr>
          <w:rFonts w:cs="Times New Roman"/>
          <w:sz w:val="24"/>
          <w:szCs w:val="24"/>
        </w:rPr>
        <w:t xml:space="preserve">Corresponding author: </w:t>
      </w:r>
      <w:hyperlink r:id="rId8" w:history="1">
        <w:r w:rsidR="00D0011C" w:rsidRPr="00126B2F">
          <w:rPr>
            <w:rStyle w:val="Hyperlink"/>
            <w:rFonts w:cs="Times New Roman"/>
            <w:sz w:val="24"/>
            <w:szCs w:val="24"/>
          </w:rPr>
          <w:t>profrebeccaboden@gmail.com</w:t>
        </w:r>
      </w:hyperlink>
    </w:p>
    <w:p w14:paraId="30C2E2D5" w14:textId="77777777" w:rsidR="00D0011C" w:rsidRPr="00126B2F" w:rsidRDefault="00D0011C" w:rsidP="00F7771F">
      <w:pPr>
        <w:spacing w:after="0" w:line="360" w:lineRule="auto"/>
        <w:rPr>
          <w:rFonts w:cs="Times New Roman"/>
          <w:sz w:val="24"/>
          <w:szCs w:val="24"/>
        </w:rPr>
      </w:pPr>
    </w:p>
    <w:p w14:paraId="665E9E04" w14:textId="48437A22" w:rsidR="00D22205" w:rsidRPr="00126B2F" w:rsidRDefault="00D22205" w:rsidP="00F7771F">
      <w:pPr>
        <w:spacing w:after="0" w:line="360" w:lineRule="auto"/>
        <w:rPr>
          <w:rFonts w:cs="Times New Roman"/>
          <w:sz w:val="24"/>
          <w:szCs w:val="24"/>
        </w:rPr>
      </w:pPr>
      <w:r w:rsidRPr="00126B2F">
        <w:rPr>
          <w:rFonts w:cs="Times New Roman"/>
          <w:sz w:val="24"/>
          <w:szCs w:val="24"/>
        </w:rPr>
        <w:br w:type="page"/>
      </w:r>
    </w:p>
    <w:p w14:paraId="56E0F743" w14:textId="6B9124B4" w:rsidR="00D22205" w:rsidRPr="00126B2F" w:rsidRDefault="00D22205" w:rsidP="00F7771F">
      <w:pPr>
        <w:spacing w:after="0" w:line="360" w:lineRule="auto"/>
        <w:rPr>
          <w:rFonts w:cs="Times New Roman"/>
          <w:b/>
          <w:sz w:val="24"/>
          <w:szCs w:val="24"/>
        </w:rPr>
      </w:pPr>
      <w:r w:rsidRPr="00126B2F">
        <w:rPr>
          <w:rFonts w:cs="Times New Roman"/>
          <w:b/>
          <w:sz w:val="24"/>
          <w:szCs w:val="24"/>
        </w:rPr>
        <w:lastRenderedPageBreak/>
        <w:t>Paying the Piper: The governance of vice-chancellors’ remuneration in Australian and UK universities</w:t>
      </w:r>
    </w:p>
    <w:p w14:paraId="3A3A0FD7" w14:textId="721DB9CE" w:rsidR="00D22361" w:rsidRPr="00126B2F" w:rsidRDefault="00D22361" w:rsidP="00F7771F">
      <w:pPr>
        <w:spacing w:after="0" w:line="360" w:lineRule="auto"/>
        <w:rPr>
          <w:rFonts w:cs="Times New Roman"/>
          <w:b/>
          <w:sz w:val="24"/>
          <w:szCs w:val="24"/>
        </w:rPr>
      </w:pPr>
    </w:p>
    <w:p w14:paraId="796E0F8A" w14:textId="48B4ED51" w:rsidR="00D22361" w:rsidRPr="00126B2F" w:rsidRDefault="00D22361" w:rsidP="00F7771F">
      <w:pPr>
        <w:spacing w:after="0" w:line="360" w:lineRule="auto"/>
        <w:rPr>
          <w:rFonts w:cs="Times New Roman"/>
          <w:b/>
          <w:sz w:val="24"/>
          <w:szCs w:val="24"/>
        </w:rPr>
      </w:pPr>
      <w:r w:rsidRPr="00126B2F">
        <w:rPr>
          <w:rFonts w:cs="Times New Roman"/>
          <w:b/>
          <w:sz w:val="24"/>
          <w:szCs w:val="24"/>
        </w:rPr>
        <w:t>Abstract</w:t>
      </w:r>
    </w:p>
    <w:p w14:paraId="3F05B93B" w14:textId="0DC70D33" w:rsidR="00D22361" w:rsidRPr="00126B2F" w:rsidRDefault="00BB3C7D" w:rsidP="00F7771F">
      <w:pPr>
        <w:autoSpaceDE w:val="0"/>
        <w:autoSpaceDN w:val="0"/>
        <w:adjustRightInd w:val="0"/>
        <w:spacing w:after="0" w:line="360" w:lineRule="auto"/>
        <w:rPr>
          <w:rFonts w:cs="Times New Roman"/>
          <w:sz w:val="24"/>
          <w:szCs w:val="24"/>
        </w:rPr>
      </w:pPr>
      <w:r w:rsidRPr="00126B2F">
        <w:rPr>
          <w:rFonts w:cs="Times New Roman"/>
          <w:sz w:val="24"/>
          <w:szCs w:val="24"/>
        </w:rPr>
        <w:t xml:space="preserve">There is a long running </w:t>
      </w:r>
      <w:r w:rsidR="00940017" w:rsidRPr="00126B2F">
        <w:rPr>
          <w:rFonts w:cs="Times New Roman"/>
          <w:sz w:val="24"/>
          <w:szCs w:val="24"/>
        </w:rPr>
        <w:t xml:space="preserve">cyclical </w:t>
      </w:r>
      <w:r w:rsidR="002A30BC" w:rsidRPr="00126B2F">
        <w:rPr>
          <w:rFonts w:cs="Times New Roman"/>
          <w:sz w:val="24"/>
          <w:szCs w:val="24"/>
        </w:rPr>
        <w:t xml:space="preserve">public </w:t>
      </w:r>
      <w:r w:rsidRPr="00126B2F">
        <w:rPr>
          <w:rFonts w:cs="Times New Roman"/>
          <w:sz w:val="24"/>
          <w:szCs w:val="24"/>
        </w:rPr>
        <w:t>debate in the UK and Australia about th</w:t>
      </w:r>
      <w:r w:rsidR="00EC422C" w:rsidRPr="00126B2F">
        <w:rPr>
          <w:rFonts w:cs="Times New Roman"/>
          <w:sz w:val="24"/>
          <w:szCs w:val="24"/>
        </w:rPr>
        <w:t>e level of vice</w:t>
      </w:r>
      <w:r w:rsidR="00F6018C" w:rsidRPr="00126B2F">
        <w:rPr>
          <w:rFonts w:cs="Times New Roman"/>
          <w:sz w:val="24"/>
          <w:szCs w:val="24"/>
        </w:rPr>
        <w:t>-</w:t>
      </w:r>
      <w:r w:rsidR="00EC422C" w:rsidRPr="00126B2F">
        <w:rPr>
          <w:rFonts w:cs="Times New Roman"/>
          <w:sz w:val="24"/>
          <w:szCs w:val="24"/>
        </w:rPr>
        <w:t>chancellors’</w:t>
      </w:r>
      <w:r w:rsidR="00092894" w:rsidRPr="00126B2F">
        <w:rPr>
          <w:rFonts w:cs="Times New Roman"/>
          <w:sz w:val="24"/>
          <w:szCs w:val="24"/>
        </w:rPr>
        <w:t xml:space="preserve"> </w:t>
      </w:r>
      <w:r w:rsidRPr="00126B2F">
        <w:rPr>
          <w:rFonts w:cs="Times New Roman"/>
          <w:sz w:val="24"/>
          <w:szCs w:val="24"/>
        </w:rPr>
        <w:t>remuneration in publicly funded universities.</w:t>
      </w:r>
      <w:r w:rsidR="00EC422C" w:rsidRPr="00126B2F">
        <w:rPr>
          <w:rFonts w:cs="Times New Roman"/>
          <w:sz w:val="24"/>
          <w:szCs w:val="24"/>
        </w:rPr>
        <w:t xml:space="preserve"> </w:t>
      </w:r>
      <w:r w:rsidRPr="00126B2F">
        <w:rPr>
          <w:rFonts w:cs="Times New Roman"/>
          <w:sz w:val="24"/>
          <w:szCs w:val="24"/>
        </w:rPr>
        <w:t xml:space="preserve">Whilst governments </w:t>
      </w:r>
      <w:r w:rsidR="00FA1B45" w:rsidRPr="00126B2F">
        <w:rPr>
          <w:rFonts w:cs="Times New Roman"/>
          <w:sz w:val="24"/>
          <w:szCs w:val="24"/>
        </w:rPr>
        <w:t xml:space="preserve">may </w:t>
      </w:r>
      <w:r w:rsidR="005A12E1" w:rsidRPr="00126B2F">
        <w:rPr>
          <w:rFonts w:cs="Times New Roman"/>
          <w:sz w:val="24"/>
          <w:szCs w:val="24"/>
        </w:rPr>
        <w:t>promise</w:t>
      </w:r>
      <w:r w:rsidR="00092894" w:rsidRPr="00126B2F">
        <w:rPr>
          <w:rFonts w:cs="Times New Roman"/>
          <w:sz w:val="24"/>
          <w:szCs w:val="24"/>
        </w:rPr>
        <w:t xml:space="preserve"> </w:t>
      </w:r>
      <w:r w:rsidRPr="00126B2F">
        <w:rPr>
          <w:rFonts w:cs="Times New Roman"/>
          <w:sz w:val="24"/>
          <w:szCs w:val="24"/>
        </w:rPr>
        <w:t xml:space="preserve">greater oversight, little </w:t>
      </w:r>
      <w:r w:rsidR="00940017" w:rsidRPr="00126B2F">
        <w:rPr>
          <w:rFonts w:cs="Times New Roman"/>
          <w:sz w:val="24"/>
          <w:szCs w:val="24"/>
        </w:rPr>
        <w:t xml:space="preserve">appears </w:t>
      </w:r>
      <w:r w:rsidRPr="00126B2F">
        <w:rPr>
          <w:rFonts w:cs="Times New Roman"/>
          <w:sz w:val="24"/>
          <w:szCs w:val="24"/>
        </w:rPr>
        <w:t xml:space="preserve">to change. Similar trends are emerging in </w:t>
      </w:r>
      <w:r w:rsidR="00EC422C" w:rsidRPr="00126B2F">
        <w:rPr>
          <w:rFonts w:cs="Times New Roman"/>
          <w:sz w:val="24"/>
          <w:szCs w:val="24"/>
        </w:rPr>
        <w:t xml:space="preserve">some </w:t>
      </w:r>
      <w:r w:rsidRPr="00126B2F">
        <w:rPr>
          <w:rFonts w:cs="Times New Roman"/>
          <w:sz w:val="24"/>
          <w:szCs w:val="24"/>
        </w:rPr>
        <w:t>other European countries</w:t>
      </w:r>
      <w:r w:rsidR="00EC422C" w:rsidRPr="00126B2F">
        <w:rPr>
          <w:rFonts w:cs="Times New Roman"/>
          <w:sz w:val="24"/>
          <w:szCs w:val="24"/>
        </w:rPr>
        <w:t xml:space="preserve">. </w:t>
      </w:r>
      <w:r w:rsidRPr="00126B2F">
        <w:rPr>
          <w:rFonts w:cs="Times New Roman"/>
          <w:sz w:val="24"/>
          <w:szCs w:val="24"/>
        </w:rPr>
        <w:t xml:space="preserve">This </w:t>
      </w:r>
      <w:r w:rsidR="00EC422C" w:rsidRPr="00126B2F">
        <w:rPr>
          <w:rFonts w:cs="Times New Roman"/>
          <w:sz w:val="24"/>
          <w:szCs w:val="24"/>
        </w:rPr>
        <w:t xml:space="preserve">paper </w:t>
      </w:r>
      <w:r w:rsidRPr="00126B2F">
        <w:rPr>
          <w:rFonts w:cs="Times New Roman"/>
          <w:sz w:val="24"/>
          <w:szCs w:val="24"/>
        </w:rPr>
        <w:t>critical</w:t>
      </w:r>
      <w:r w:rsidR="006473DA" w:rsidRPr="00126B2F">
        <w:rPr>
          <w:rFonts w:cs="Times New Roman"/>
          <w:sz w:val="24"/>
          <w:szCs w:val="24"/>
        </w:rPr>
        <w:t>ly</w:t>
      </w:r>
      <w:r w:rsidRPr="00126B2F">
        <w:rPr>
          <w:rFonts w:cs="Times New Roman"/>
          <w:sz w:val="24"/>
          <w:szCs w:val="24"/>
        </w:rPr>
        <w:t xml:space="preserve"> consider</w:t>
      </w:r>
      <w:r w:rsidR="006473DA" w:rsidRPr="00126B2F">
        <w:rPr>
          <w:rFonts w:cs="Times New Roman"/>
          <w:sz w:val="24"/>
          <w:szCs w:val="24"/>
        </w:rPr>
        <w:t>s</w:t>
      </w:r>
      <w:r w:rsidRPr="00126B2F">
        <w:rPr>
          <w:rFonts w:cs="Times New Roman"/>
          <w:sz w:val="24"/>
          <w:szCs w:val="24"/>
        </w:rPr>
        <w:t xml:space="preserve"> the determination of </w:t>
      </w:r>
      <w:r w:rsidR="00FA1B45" w:rsidRPr="00126B2F">
        <w:rPr>
          <w:rFonts w:cs="Times New Roman"/>
          <w:sz w:val="24"/>
          <w:szCs w:val="24"/>
        </w:rPr>
        <w:t xml:space="preserve">vice-chancellors’ </w:t>
      </w:r>
      <w:r w:rsidRPr="00126B2F">
        <w:rPr>
          <w:rFonts w:cs="Times New Roman"/>
          <w:sz w:val="24"/>
          <w:szCs w:val="24"/>
        </w:rPr>
        <w:t>remuneration</w:t>
      </w:r>
      <w:r w:rsidR="006473DA" w:rsidRPr="00126B2F">
        <w:rPr>
          <w:rFonts w:cs="Times New Roman"/>
          <w:sz w:val="24"/>
          <w:szCs w:val="24"/>
        </w:rPr>
        <w:t xml:space="preserve"> </w:t>
      </w:r>
      <w:r w:rsidR="00EC422C" w:rsidRPr="00126B2F">
        <w:rPr>
          <w:rFonts w:cs="Times New Roman"/>
          <w:sz w:val="24"/>
          <w:szCs w:val="24"/>
        </w:rPr>
        <w:t>as a governance issue</w:t>
      </w:r>
      <w:r w:rsidRPr="00126B2F">
        <w:rPr>
          <w:rFonts w:cs="Times New Roman"/>
          <w:sz w:val="24"/>
          <w:szCs w:val="24"/>
        </w:rPr>
        <w:t xml:space="preserve">. In the context of </w:t>
      </w:r>
      <w:proofErr w:type="spellStart"/>
      <w:r w:rsidRPr="00126B2F">
        <w:rPr>
          <w:rFonts w:cs="Times New Roman"/>
          <w:sz w:val="24"/>
          <w:szCs w:val="24"/>
        </w:rPr>
        <w:t>corporatis</w:t>
      </w:r>
      <w:r w:rsidR="00FA1B45" w:rsidRPr="00126B2F">
        <w:rPr>
          <w:rFonts w:cs="Times New Roman"/>
          <w:sz w:val="24"/>
          <w:szCs w:val="24"/>
        </w:rPr>
        <w:t>ed</w:t>
      </w:r>
      <w:proofErr w:type="spellEnd"/>
      <w:r w:rsidR="00EC422C" w:rsidRPr="00126B2F">
        <w:rPr>
          <w:rFonts w:cs="Times New Roman"/>
          <w:sz w:val="24"/>
          <w:szCs w:val="24"/>
        </w:rPr>
        <w:t xml:space="preserve"> public universities, </w:t>
      </w:r>
      <w:r w:rsidR="00445993" w:rsidRPr="00126B2F">
        <w:rPr>
          <w:rFonts w:cs="Times New Roman"/>
          <w:sz w:val="24"/>
          <w:szCs w:val="24"/>
        </w:rPr>
        <w:t>we consider</w:t>
      </w:r>
      <w:r w:rsidR="00940017" w:rsidRPr="00126B2F">
        <w:rPr>
          <w:rFonts w:cs="Times New Roman"/>
          <w:sz w:val="24"/>
          <w:szCs w:val="24"/>
        </w:rPr>
        <w:t xml:space="preserve"> </w:t>
      </w:r>
      <w:r w:rsidR="00F6018C" w:rsidRPr="00126B2F">
        <w:rPr>
          <w:rFonts w:cs="Times New Roman"/>
          <w:sz w:val="24"/>
          <w:szCs w:val="24"/>
        </w:rPr>
        <w:t xml:space="preserve">how </w:t>
      </w:r>
      <w:r w:rsidR="00940017" w:rsidRPr="00126B2F">
        <w:rPr>
          <w:rFonts w:cs="Times New Roman"/>
          <w:sz w:val="24"/>
          <w:szCs w:val="24"/>
        </w:rPr>
        <w:t>reforms</w:t>
      </w:r>
      <w:r w:rsidRPr="00126B2F">
        <w:rPr>
          <w:rFonts w:cs="Times New Roman"/>
          <w:sz w:val="24"/>
          <w:szCs w:val="24"/>
        </w:rPr>
        <w:t xml:space="preserve"> in university governance </w:t>
      </w:r>
      <w:r w:rsidR="00940017" w:rsidRPr="00126B2F">
        <w:rPr>
          <w:rFonts w:cs="Times New Roman"/>
          <w:sz w:val="24"/>
          <w:szCs w:val="24"/>
        </w:rPr>
        <w:t xml:space="preserve">may have </w:t>
      </w:r>
      <w:r w:rsidR="00F6018C" w:rsidRPr="00126B2F">
        <w:rPr>
          <w:rFonts w:cs="Times New Roman"/>
          <w:sz w:val="24"/>
          <w:szCs w:val="24"/>
        </w:rPr>
        <w:t>contributed to</w:t>
      </w:r>
      <w:r w:rsidRPr="00126B2F">
        <w:rPr>
          <w:rFonts w:cs="Times New Roman"/>
          <w:sz w:val="24"/>
          <w:szCs w:val="24"/>
        </w:rPr>
        <w:t xml:space="preserve"> the shifting nature and </w:t>
      </w:r>
      <w:r w:rsidR="00445993" w:rsidRPr="00126B2F">
        <w:rPr>
          <w:rFonts w:cs="Times New Roman"/>
          <w:sz w:val="24"/>
          <w:szCs w:val="24"/>
        </w:rPr>
        <w:t xml:space="preserve">levels </w:t>
      </w:r>
      <w:r w:rsidRPr="00126B2F">
        <w:rPr>
          <w:rFonts w:cs="Times New Roman"/>
          <w:sz w:val="24"/>
          <w:szCs w:val="24"/>
        </w:rPr>
        <w:t xml:space="preserve">of </w:t>
      </w:r>
      <w:r w:rsidR="00FA1B45" w:rsidRPr="00126B2F">
        <w:rPr>
          <w:rFonts w:cs="Times New Roman"/>
          <w:sz w:val="24"/>
          <w:szCs w:val="24"/>
        </w:rPr>
        <w:t xml:space="preserve">vice-chancellors’ </w:t>
      </w:r>
      <w:r w:rsidR="00EC422C" w:rsidRPr="00126B2F">
        <w:rPr>
          <w:rFonts w:cs="Times New Roman"/>
          <w:sz w:val="24"/>
          <w:szCs w:val="24"/>
        </w:rPr>
        <w:t xml:space="preserve">remuneration in </w:t>
      </w:r>
      <w:r w:rsidRPr="00126B2F">
        <w:rPr>
          <w:rFonts w:cs="Times New Roman"/>
          <w:sz w:val="24"/>
          <w:szCs w:val="24"/>
        </w:rPr>
        <w:t>Australia and the UK</w:t>
      </w:r>
      <w:r w:rsidR="00940017" w:rsidRPr="00126B2F">
        <w:rPr>
          <w:rFonts w:cs="Times New Roman"/>
          <w:sz w:val="24"/>
          <w:szCs w:val="24"/>
        </w:rPr>
        <w:t>.</w:t>
      </w:r>
      <w:r w:rsidR="00EC422C" w:rsidRPr="00126B2F">
        <w:rPr>
          <w:rFonts w:cs="Times New Roman"/>
          <w:sz w:val="24"/>
          <w:szCs w:val="24"/>
        </w:rPr>
        <w:t xml:space="preserve"> We </w:t>
      </w:r>
      <w:r w:rsidR="00940017" w:rsidRPr="00126B2F">
        <w:rPr>
          <w:rFonts w:cs="Times New Roman"/>
          <w:sz w:val="24"/>
          <w:szCs w:val="24"/>
        </w:rPr>
        <w:t xml:space="preserve">argue </w:t>
      </w:r>
      <w:r w:rsidR="00EC422C" w:rsidRPr="00126B2F">
        <w:rPr>
          <w:rFonts w:cs="Times New Roman"/>
          <w:sz w:val="24"/>
          <w:szCs w:val="24"/>
        </w:rPr>
        <w:t xml:space="preserve">that this </w:t>
      </w:r>
      <w:r w:rsidR="00940017" w:rsidRPr="00126B2F">
        <w:rPr>
          <w:rFonts w:cs="Times New Roman"/>
          <w:sz w:val="24"/>
          <w:szCs w:val="24"/>
        </w:rPr>
        <w:t>a</w:t>
      </w:r>
      <w:r w:rsidR="00EC422C" w:rsidRPr="00126B2F">
        <w:rPr>
          <w:rFonts w:cs="Times New Roman"/>
          <w:sz w:val="24"/>
          <w:szCs w:val="24"/>
        </w:rPr>
        <w:t>rea requir</w:t>
      </w:r>
      <w:r w:rsidR="00940017" w:rsidRPr="00126B2F">
        <w:rPr>
          <w:rFonts w:cs="Times New Roman"/>
          <w:sz w:val="24"/>
          <w:szCs w:val="24"/>
        </w:rPr>
        <w:t>es</w:t>
      </w:r>
      <w:r w:rsidR="00EC422C" w:rsidRPr="00126B2F">
        <w:rPr>
          <w:rFonts w:cs="Times New Roman"/>
          <w:sz w:val="24"/>
          <w:szCs w:val="24"/>
        </w:rPr>
        <w:t xml:space="preserve"> urgent governance reform.</w:t>
      </w:r>
    </w:p>
    <w:p w14:paraId="0F7AB031" w14:textId="77777777" w:rsidR="00D22205" w:rsidRPr="00126B2F" w:rsidRDefault="00D22205" w:rsidP="00F7771F">
      <w:pPr>
        <w:spacing w:after="0" w:line="360" w:lineRule="auto"/>
        <w:rPr>
          <w:rFonts w:cs="Times New Roman"/>
          <w:b/>
          <w:sz w:val="24"/>
          <w:szCs w:val="24"/>
        </w:rPr>
      </w:pPr>
    </w:p>
    <w:p w14:paraId="70C5FC06" w14:textId="433BA994" w:rsidR="00893B01" w:rsidRPr="00126B2F" w:rsidRDefault="00893B01" w:rsidP="00F7771F">
      <w:pPr>
        <w:spacing w:after="0" w:line="360" w:lineRule="auto"/>
        <w:rPr>
          <w:rFonts w:cs="Times New Roman"/>
          <w:b/>
          <w:sz w:val="24"/>
          <w:szCs w:val="24"/>
        </w:rPr>
      </w:pPr>
      <w:r w:rsidRPr="00126B2F">
        <w:rPr>
          <w:rFonts w:cs="Times New Roman"/>
          <w:b/>
          <w:sz w:val="24"/>
          <w:szCs w:val="24"/>
        </w:rPr>
        <w:t xml:space="preserve">Keywords: universities; </w:t>
      </w:r>
      <w:r w:rsidR="00F6018C" w:rsidRPr="00126B2F">
        <w:rPr>
          <w:rFonts w:cs="Times New Roman"/>
          <w:b/>
          <w:sz w:val="24"/>
          <w:szCs w:val="24"/>
        </w:rPr>
        <w:t>executive</w:t>
      </w:r>
      <w:r w:rsidRPr="00126B2F">
        <w:rPr>
          <w:rFonts w:cs="Times New Roman"/>
          <w:b/>
          <w:sz w:val="24"/>
          <w:szCs w:val="24"/>
        </w:rPr>
        <w:t xml:space="preserve"> remuneration; governance; stewardship</w:t>
      </w:r>
      <w:r w:rsidR="00F6018C" w:rsidRPr="00126B2F">
        <w:rPr>
          <w:rFonts w:cs="Times New Roman"/>
          <w:b/>
          <w:sz w:val="24"/>
          <w:szCs w:val="24"/>
        </w:rPr>
        <w:t xml:space="preserve"> theory</w:t>
      </w:r>
      <w:r w:rsidRPr="00126B2F">
        <w:rPr>
          <w:rFonts w:cs="Times New Roman"/>
          <w:b/>
          <w:sz w:val="24"/>
          <w:szCs w:val="24"/>
        </w:rPr>
        <w:t>; agency</w:t>
      </w:r>
      <w:r w:rsidR="00F6018C" w:rsidRPr="00126B2F">
        <w:rPr>
          <w:rFonts w:cs="Times New Roman"/>
          <w:b/>
          <w:sz w:val="24"/>
          <w:szCs w:val="24"/>
        </w:rPr>
        <w:t xml:space="preserve"> theory</w:t>
      </w:r>
      <w:r w:rsidRPr="00126B2F">
        <w:rPr>
          <w:rFonts w:cs="Times New Roman"/>
          <w:b/>
          <w:sz w:val="24"/>
          <w:szCs w:val="24"/>
        </w:rPr>
        <w:br w:type="page"/>
      </w:r>
    </w:p>
    <w:p w14:paraId="26DF7F6F" w14:textId="77777777" w:rsidR="00893B01" w:rsidRPr="00126B2F" w:rsidRDefault="00893B01" w:rsidP="00F7771F">
      <w:pPr>
        <w:spacing w:after="0" w:line="360" w:lineRule="auto"/>
        <w:rPr>
          <w:rFonts w:cs="Times New Roman"/>
          <w:b/>
          <w:sz w:val="24"/>
          <w:szCs w:val="24"/>
        </w:rPr>
      </w:pPr>
      <w:r w:rsidRPr="00126B2F">
        <w:rPr>
          <w:rFonts w:cs="Times New Roman"/>
          <w:b/>
          <w:sz w:val="24"/>
          <w:szCs w:val="24"/>
        </w:rPr>
        <w:lastRenderedPageBreak/>
        <w:t>Paying the Piper: The governance of vice-chancellors’ remuneration in Australian and UK universities</w:t>
      </w:r>
    </w:p>
    <w:p w14:paraId="09F79A7F" w14:textId="77777777" w:rsidR="00D22205" w:rsidRPr="00126B2F" w:rsidRDefault="00D22205" w:rsidP="00F7771F">
      <w:pPr>
        <w:spacing w:after="0" w:line="360" w:lineRule="auto"/>
        <w:rPr>
          <w:rFonts w:cs="Times New Roman"/>
          <w:b/>
          <w:sz w:val="24"/>
          <w:szCs w:val="24"/>
        </w:rPr>
      </w:pPr>
    </w:p>
    <w:p w14:paraId="7662632B" w14:textId="77777777" w:rsidR="00D22205" w:rsidRPr="00126B2F" w:rsidRDefault="00D22205" w:rsidP="00F7771F">
      <w:pPr>
        <w:spacing w:after="0" w:line="360" w:lineRule="auto"/>
        <w:rPr>
          <w:rFonts w:cs="Times New Roman"/>
          <w:b/>
          <w:sz w:val="24"/>
          <w:szCs w:val="24"/>
        </w:rPr>
      </w:pPr>
      <w:r w:rsidRPr="00126B2F">
        <w:rPr>
          <w:rFonts w:cs="Times New Roman"/>
          <w:b/>
          <w:sz w:val="24"/>
          <w:szCs w:val="24"/>
        </w:rPr>
        <w:t xml:space="preserve">Introduction </w:t>
      </w:r>
    </w:p>
    <w:p w14:paraId="61878EF0" w14:textId="0FC0538C" w:rsidR="00724699" w:rsidRPr="00126B2F" w:rsidRDefault="00D22205" w:rsidP="00F7771F">
      <w:pPr>
        <w:spacing w:after="0" w:line="360" w:lineRule="auto"/>
        <w:rPr>
          <w:rFonts w:cs="Times New Roman"/>
          <w:sz w:val="24"/>
          <w:szCs w:val="24"/>
        </w:rPr>
      </w:pPr>
      <w:r w:rsidRPr="00126B2F">
        <w:rPr>
          <w:rFonts w:cs="Times New Roman"/>
          <w:sz w:val="24"/>
          <w:szCs w:val="24"/>
        </w:rPr>
        <w:t xml:space="preserve">There is voluble and </w:t>
      </w:r>
      <w:r w:rsidR="005B76F7" w:rsidRPr="00126B2F">
        <w:rPr>
          <w:rFonts w:cs="Times New Roman"/>
          <w:sz w:val="24"/>
          <w:szCs w:val="24"/>
        </w:rPr>
        <w:t xml:space="preserve">cyclical </w:t>
      </w:r>
      <w:r w:rsidRPr="00126B2F">
        <w:rPr>
          <w:rFonts w:cs="Times New Roman"/>
          <w:sz w:val="24"/>
          <w:szCs w:val="24"/>
        </w:rPr>
        <w:t xml:space="preserve">public debate in the UK and Australia </w:t>
      </w:r>
      <w:r w:rsidR="000E19A1" w:rsidRPr="00126B2F">
        <w:rPr>
          <w:rFonts w:cs="Times New Roman"/>
          <w:sz w:val="24"/>
          <w:szCs w:val="24"/>
        </w:rPr>
        <w:t xml:space="preserve">regarding </w:t>
      </w:r>
      <w:r w:rsidR="008C13E2" w:rsidRPr="00126B2F">
        <w:rPr>
          <w:rFonts w:cs="Times New Roman"/>
          <w:sz w:val="24"/>
          <w:szCs w:val="24"/>
        </w:rPr>
        <w:t xml:space="preserve">the levels of </w:t>
      </w:r>
      <w:r w:rsidRPr="00126B2F">
        <w:rPr>
          <w:rFonts w:cs="Times New Roman"/>
          <w:sz w:val="24"/>
          <w:szCs w:val="24"/>
        </w:rPr>
        <w:t>vice chancellors</w:t>
      </w:r>
      <w:r w:rsidR="00C175D7" w:rsidRPr="00126B2F">
        <w:rPr>
          <w:rFonts w:cs="Times New Roman"/>
          <w:sz w:val="24"/>
          <w:szCs w:val="24"/>
        </w:rPr>
        <w:t>’</w:t>
      </w:r>
      <w:r w:rsidRPr="00126B2F">
        <w:rPr>
          <w:rStyle w:val="FootnoteReference"/>
          <w:rFonts w:cs="Times New Roman"/>
          <w:sz w:val="24"/>
          <w:szCs w:val="24"/>
        </w:rPr>
        <w:footnoteReference w:id="1"/>
      </w:r>
      <w:r w:rsidRPr="00126B2F">
        <w:rPr>
          <w:rFonts w:cs="Times New Roman"/>
          <w:sz w:val="24"/>
          <w:szCs w:val="24"/>
        </w:rPr>
        <w:t xml:space="preserve"> </w:t>
      </w:r>
      <w:r w:rsidR="00FA1B45" w:rsidRPr="00126B2F">
        <w:rPr>
          <w:rFonts w:cs="Times New Roman"/>
          <w:sz w:val="24"/>
          <w:szCs w:val="24"/>
        </w:rPr>
        <w:t xml:space="preserve">(VCs) </w:t>
      </w:r>
      <w:r w:rsidR="00940017" w:rsidRPr="00126B2F">
        <w:rPr>
          <w:rFonts w:cs="Times New Roman"/>
          <w:sz w:val="24"/>
          <w:szCs w:val="24"/>
        </w:rPr>
        <w:t xml:space="preserve">remuneration at </w:t>
      </w:r>
      <w:r w:rsidRPr="00126B2F">
        <w:rPr>
          <w:rFonts w:cs="Times New Roman"/>
          <w:sz w:val="24"/>
          <w:szCs w:val="24"/>
        </w:rPr>
        <w:t xml:space="preserve">publicly funded universities (Adams &amp; </w:t>
      </w:r>
      <w:proofErr w:type="spellStart"/>
      <w:r w:rsidRPr="00126B2F">
        <w:rPr>
          <w:rFonts w:cs="Times New Roman"/>
          <w:sz w:val="24"/>
          <w:szCs w:val="24"/>
        </w:rPr>
        <w:t>Gamperl</w:t>
      </w:r>
      <w:proofErr w:type="spellEnd"/>
      <w:r w:rsidR="008A5F6F" w:rsidRPr="00126B2F">
        <w:rPr>
          <w:rFonts w:cs="Times New Roman"/>
          <w:sz w:val="24"/>
          <w:szCs w:val="24"/>
        </w:rPr>
        <w:t>,</w:t>
      </w:r>
      <w:r w:rsidRPr="00126B2F">
        <w:rPr>
          <w:rFonts w:cs="Times New Roman"/>
          <w:sz w:val="24"/>
          <w:szCs w:val="24"/>
        </w:rPr>
        <w:t xml:space="preserve"> 2018</w:t>
      </w:r>
      <w:r w:rsidR="00D31851" w:rsidRPr="00126B2F">
        <w:rPr>
          <w:rFonts w:cs="Times New Roman"/>
          <w:sz w:val="24"/>
          <w:szCs w:val="24"/>
        </w:rPr>
        <w:t xml:space="preserve">; </w:t>
      </w:r>
      <w:proofErr w:type="spellStart"/>
      <w:r w:rsidR="00FE7E18" w:rsidRPr="00126B2F">
        <w:rPr>
          <w:rFonts w:cs="Times New Roman"/>
          <w:sz w:val="24"/>
          <w:szCs w:val="24"/>
        </w:rPr>
        <w:t>Loussikian</w:t>
      </w:r>
      <w:proofErr w:type="spellEnd"/>
      <w:r w:rsidR="008A5F6F" w:rsidRPr="00126B2F">
        <w:rPr>
          <w:rFonts w:cs="Times New Roman"/>
          <w:sz w:val="24"/>
          <w:szCs w:val="24"/>
        </w:rPr>
        <w:t>,</w:t>
      </w:r>
      <w:r w:rsidR="00FE7E18" w:rsidRPr="00126B2F">
        <w:rPr>
          <w:rFonts w:cs="Times New Roman"/>
          <w:sz w:val="24"/>
          <w:szCs w:val="24"/>
        </w:rPr>
        <w:t xml:space="preserve"> 2018; Heffernan</w:t>
      </w:r>
      <w:r w:rsidR="008A5F6F" w:rsidRPr="00126B2F">
        <w:rPr>
          <w:rFonts w:cs="Times New Roman"/>
          <w:sz w:val="24"/>
          <w:szCs w:val="24"/>
        </w:rPr>
        <w:t>,</w:t>
      </w:r>
      <w:r w:rsidR="00FE7E18" w:rsidRPr="00126B2F">
        <w:rPr>
          <w:rFonts w:cs="Times New Roman"/>
          <w:sz w:val="24"/>
          <w:szCs w:val="24"/>
        </w:rPr>
        <w:t xml:space="preserve"> 2019</w:t>
      </w:r>
      <w:r w:rsidRPr="00126B2F">
        <w:rPr>
          <w:rFonts w:cs="Times New Roman"/>
          <w:sz w:val="24"/>
          <w:szCs w:val="24"/>
        </w:rPr>
        <w:t xml:space="preserve">). </w:t>
      </w:r>
      <w:r w:rsidR="008215B5" w:rsidRPr="00126B2F">
        <w:rPr>
          <w:rFonts w:cs="Times New Roman"/>
          <w:sz w:val="24"/>
          <w:szCs w:val="24"/>
        </w:rPr>
        <w:t>A</w:t>
      </w:r>
      <w:r w:rsidR="00F24636" w:rsidRPr="00126B2F">
        <w:rPr>
          <w:rFonts w:cs="Times New Roman"/>
          <w:sz w:val="24"/>
          <w:szCs w:val="24"/>
        </w:rPr>
        <w:t xml:space="preserve">nnual </w:t>
      </w:r>
      <w:r w:rsidRPr="00126B2F">
        <w:rPr>
          <w:rFonts w:cs="Times New Roman"/>
          <w:sz w:val="24"/>
          <w:szCs w:val="24"/>
        </w:rPr>
        <w:t>condemnation</w:t>
      </w:r>
      <w:r w:rsidR="00596768" w:rsidRPr="00126B2F">
        <w:rPr>
          <w:rFonts w:cs="Times New Roman"/>
          <w:sz w:val="24"/>
          <w:szCs w:val="24"/>
        </w:rPr>
        <w:t>s</w:t>
      </w:r>
      <w:r w:rsidRPr="00126B2F">
        <w:rPr>
          <w:rFonts w:cs="Times New Roman"/>
          <w:sz w:val="24"/>
          <w:szCs w:val="24"/>
        </w:rPr>
        <w:t xml:space="preserve"> of remuneration </w:t>
      </w:r>
      <w:r w:rsidR="00E43269" w:rsidRPr="00126B2F">
        <w:rPr>
          <w:rFonts w:cs="Times New Roman"/>
          <w:sz w:val="24"/>
          <w:szCs w:val="24"/>
        </w:rPr>
        <w:t xml:space="preserve">levels </w:t>
      </w:r>
      <w:r w:rsidRPr="00126B2F">
        <w:rPr>
          <w:rFonts w:cs="Times New Roman"/>
          <w:sz w:val="24"/>
          <w:szCs w:val="24"/>
        </w:rPr>
        <w:t>(Langford</w:t>
      </w:r>
      <w:r w:rsidR="008A5F6F" w:rsidRPr="00126B2F">
        <w:rPr>
          <w:rFonts w:cs="Times New Roman"/>
          <w:sz w:val="24"/>
          <w:szCs w:val="24"/>
        </w:rPr>
        <w:t>,</w:t>
      </w:r>
      <w:r w:rsidRPr="00126B2F">
        <w:rPr>
          <w:rFonts w:cs="Times New Roman"/>
          <w:sz w:val="24"/>
          <w:szCs w:val="24"/>
        </w:rPr>
        <w:t xml:space="preserve"> 2018) </w:t>
      </w:r>
      <w:r w:rsidR="00CE7EAE" w:rsidRPr="00126B2F">
        <w:rPr>
          <w:rFonts w:cs="Times New Roman"/>
          <w:sz w:val="24"/>
          <w:szCs w:val="24"/>
        </w:rPr>
        <w:t xml:space="preserve">are </w:t>
      </w:r>
      <w:r w:rsidRPr="00126B2F">
        <w:rPr>
          <w:rFonts w:cs="Times New Roman"/>
          <w:sz w:val="24"/>
          <w:szCs w:val="24"/>
        </w:rPr>
        <w:t xml:space="preserve">countered with mantras </w:t>
      </w:r>
      <w:r w:rsidR="005B76F7" w:rsidRPr="00126B2F">
        <w:rPr>
          <w:rFonts w:cs="Times New Roman"/>
          <w:sz w:val="24"/>
          <w:szCs w:val="24"/>
        </w:rPr>
        <w:t xml:space="preserve">that VCs lead </w:t>
      </w:r>
      <w:r w:rsidRPr="00126B2F">
        <w:rPr>
          <w:rFonts w:cs="Times New Roman"/>
          <w:sz w:val="24"/>
          <w:szCs w:val="24"/>
        </w:rPr>
        <w:t xml:space="preserve">large and complex businesses within which </w:t>
      </w:r>
      <w:r w:rsidR="005B76F7" w:rsidRPr="00126B2F">
        <w:rPr>
          <w:rFonts w:cs="Times New Roman"/>
          <w:sz w:val="24"/>
          <w:szCs w:val="24"/>
        </w:rPr>
        <w:t>they</w:t>
      </w:r>
      <w:r w:rsidRPr="00126B2F">
        <w:rPr>
          <w:rFonts w:cs="Times New Roman"/>
          <w:sz w:val="24"/>
          <w:szCs w:val="24"/>
        </w:rPr>
        <w:t xml:space="preserve"> work hard for </w:t>
      </w:r>
      <w:r w:rsidR="00E43269" w:rsidRPr="00126B2F">
        <w:rPr>
          <w:rFonts w:cs="Times New Roman"/>
          <w:sz w:val="24"/>
          <w:szCs w:val="24"/>
        </w:rPr>
        <w:t xml:space="preserve">objectively set </w:t>
      </w:r>
      <w:r w:rsidRPr="00126B2F">
        <w:rPr>
          <w:rFonts w:cs="Times New Roman"/>
          <w:sz w:val="24"/>
          <w:szCs w:val="24"/>
        </w:rPr>
        <w:t>pay (Blanchflower</w:t>
      </w:r>
      <w:r w:rsidR="008A5F6F" w:rsidRPr="00126B2F">
        <w:rPr>
          <w:rFonts w:cs="Times New Roman"/>
          <w:sz w:val="24"/>
          <w:szCs w:val="24"/>
        </w:rPr>
        <w:t>,</w:t>
      </w:r>
      <w:r w:rsidRPr="00126B2F">
        <w:rPr>
          <w:rFonts w:cs="Times New Roman"/>
          <w:sz w:val="24"/>
          <w:szCs w:val="24"/>
        </w:rPr>
        <w:t xml:space="preserve"> 2017). Despite </w:t>
      </w:r>
      <w:r w:rsidR="005B76F7" w:rsidRPr="00126B2F">
        <w:rPr>
          <w:rFonts w:cs="Times New Roman"/>
          <w:sz w:val="24"/>
          <w:szCs w:val="24"/>
        </w:rPr>
        <w:t xml:space="preserve">government </w:t>
      </w:r>
      <w:r w:rsidR="00C44913" w:rsidRPr="00126B2F">
        <w:rPr>
          <w:rFonts w:cs="Times New Roman"/>
          <w:sz w:val="24"/>
          <w:szCs w:val="24"/>
        </w:rPr>
        <w:t xml:space="preserve">promises </w:t>
      </w:r>
      <w:r w:rsidR="00E43269" w:rsidRPr="00126B2F">
        <w:rPr>
          <w:rFonts w:cs="Times New Roman"/>
          <w:sz w:val="24"/>
          <w:szCs w:val="24"/>
        </w:rPr>
        <w:t xml:space="preserve">of </w:t>
      </w:r>
      <w:r w:rsidR="000E19A1" w:rsidRPr="00126B2F">
        <w:rPr>
          <w:rFonts w:cs="Times New Roman"/>
          <w:sz w:val="24"/>
          <w:szCs w:val="24"/>
        </w:rPr>
        <w:t xml:space="preserve">greater </w:t>
      </w:r>
      <w:r w:rsidRPr="00126B2F">
        <w:rPr>
          <w:rFonts w:cs="Times New Roman"/>
          <w:sz w:val="24"/>
          <w:szCs w:val="24"/>
        </w:rPr>
        <w:t>accountability</w:t>
      </w:r>
      <w:r w:rsidR="002A30BC" w:rsidRPr="00126B2F">
        <w:rPr>
          <w:rFonts w:cs="Times New Roman"/>
          <w:sz w:val="24"/>
          <w:szCs w:val="24"/>
        </w:rPr>
        <w:t xml:space="preserve"> </w:t>
      </w:r>
      <w:r w:rsidRPr="00126B2F">
        <w:rPr>
          <w:rFonts w:cs="Times New Roman"/>
          <w:sz w:val="24"/>
          <w:szCs w:val="24"/>
        </w:rPr>
        <w:t>(Dodd</w:t>
      </w:r>
      <w:r w:rsidR="008A5F6F" w:rsidRPr="00126B2F">
        <w:rPr>
          <w:rFonts w:cs="Times New Roman"/>
          <w:sz w:val="24"/>
          <w:szCs w:val="24"/>
        </w:rPr>
        <w:t>,</w:t>
      </w:r>
      <w:r w:rsidRPr="00126B2F">
        <w:rPr>
          <w:rFonts w:cs="Times New Roman"/>
          <w:sz w:val="24"/>
          <w:szCs w:val="24"/>
        </w:rPr>
        <w:t xml:space="preserve"> 2017), little </w:t>
      </w:r>
      <w:r w:rsidR="00075ABA" w:rsidRPr="00126B2F">
        <w:rPr>
          <w:rFonts w:cs="Times New Roman"/>
          <w:sz w:val="24"/>
          <w:szCs w:val="24"/>
        </w:rPr>
        <w:t xml:space="preserve">appears </w:t>
      </w:r>
      <w:r w:rsidRPr="00126B2F">
        <w:rPr>
          <w:rFonts w:cs="Times New Roman"/>
          <w:sz w:val="24"/>
          <w:szCs w:val="24"/>
        </w:rPr>
        <w:t xml:space="preserve">to change. Similar </w:t>
      </w:r>
      <w:r w:rsidR="000E19A1" w:rsidRPr="00126B2F">
        <w:rPr>
          <w:rFonts w:cs="Times New Roman"/>
          <w:sz w:val="24"/>
          <w:szCs w:val="24"/>
        </w:rPr>
        <w:t xml:space="preserve">trends </w:t>
      </w:r>
      <w:r w:rsidRPr="00126B2F">
        <w:rPr>
          <w:rFonts w:cs="Times New Roman"/>
          <w:sz w:val="24"/>
          <w:szCs w:val="24"/>
        </w:rPr>
        <w:t>are evident elsewhere</w:t>
      </w:r>
      <w:r w:rsidR="00596768" w:rsidRPr="00126B2F">
        <w:rPr>
          <w:rFonts w:cs="Times New Roman"/>
          <w:sz w:val="24"/>
          <w:szCs w:val="24"/>
        </w:rPr>
        <w:t xml:space="preserve">, </w:t>
      </w:r>
      <w:r w:rsidRPr="00126B2F">
        <w:rPr>
          <w:rFonts w:cs="Times New Roman"/>
          <w:sz w:val="24"/>
          <w:szCs w:val="24"/>
        </w:rPr>
        <w:t>including Denmark (Boden &amp; Wright</w:t>
      </w:r>
      <w:r w:rsidR="008A5F6F" w:rsidRPr="00126B2F">
        <w:rPr>
          <w:rFonts w:cs="Times New Roman"/>
          <w:sz w:val="24"/>
          <w:szCs w:val="24"/>
        </w:rPr>
        <w:t>,</w:t>
      </w:r>
      <w:r w:rsidRPr="00126B2F">
        <w:rPr>
          <w:rFonts w:cs="Times New Roman"/>
          <w:sz w:val="24"/>
          <w:szCs w:val="24"/>
        </w:rPr>
        <w:t xml:space="preserve"> 2010)</w:t>
      </w:r>
      <w:r w:rsidR="00B53204" w:rsidRPr="00126B2F">
        <w:rPr>
          <w:rFonts w:cs="Times New Roman"/>
          <w:sz w:val="24"/>
          <w:szCs w:val="24"/>
        </w:rPr>
        <w:t xml:space="preserve"> and Canada (</w:t>
      </w:r>
      <w:proofErr w:type="spellStart"/>
      <w:r w:rsidR="00B53204" w:rsidRPr="00126B2F">
        <w:rPr>
          <w:rFonts w:cs="Times New Roman"/>
          <w:sz w:val="24"/>
          <w:szCs w:val="24"/>
        </w:rPr>
        <w:t>Essaji</w:t>
      </w:r>
      <w:proofErr w:type="spellEnd"/>
      <w:r w:rsidR="00B53204" w:rsidRPr="00126B2F">
        <w:rPr>
          <w:rFonts w:cs="Times New Roman"/>
          <w:sz w:val="24"/>
          <w:szCs w:val="24"/>
        </w:rPr>
        <w:t xml:space="preserve"> &amp; Horton</w:t>
      </w:r>
      <w:r w:rsidR="008A5F6F" w:rsidRPr="00126B2F">
        <w:rPr>
          <w:rFonts w:cs="Times New Roman"/>
          <w:sz w:val="24"/>
          <w:szCs w:val="24"/>
        </w:rPr>
        <w:t>,</w:t>
      </w:r>
      <w:r w:rsidR="00B53204" w:rsidRPr="00126B2F">
        <w:rPr>
          <w:rFonts w:cs="Times New Roman"/>
          <w:sz w:val="24"/>
          <w:szCs w:val="24"/>
        </w:rPr>
        <w:t xml:space="preserve"> 2009)</w:t>
      </w:r>
      <w:r w:rsidR="000D16C9" w:rsidRPr="00126B2F">
        <w:rPr>
          <w:rFonts w:cs="Times New Roman"/>
          <w:sz w:val="24"/>
          <w:szCs w:val="24"/>
        </w:rPr>
        <w:t>.</w:t>
      </w:r>
      <w:r w:rsidR="00C175D7" w:rsidRPr="00126B2F">
        <w:rPr>
          <w:rFonts w:cs="Times New Roman"/>
          <w:sz w:val="24"/>
          <w:szCs w:val="24"/>
        </w:rPr>
        <w:t xml:space="preserve"> </w:t>
      </w:r>
    </w:p>
    <w:p w14:paraId="576BF4C9" w14:textId="77777777" w:rsidR="00724699" w:rsidRPr="00126B2F" w:rsidRDefault="00724699" w:rsidP="00F7771F">
      <w:pPr>
        <w:spacing w:after="0" w:line="360" w:lineRule="auto"/>
        <w:rPr>
          <w:rFonts w:cs="Times New Roman"/>
          <w:sz w:val="24"/>
          <w:szCs w:val="24"/>
        </w:rPr>
      </w:pPr>
    </w:p>
    <w:p w14:paraId="0EC9D7E6" w14:textId="3BD2AA64" w:rsidR="00061169" w:rsidRPr="00126B2F" w:rsidRDefault="00C44913" w:rsidP="00F7771F">
      <w:pPr>
        <w:spacing w:after="0" w:line="360" w:lineRule="auto"/>
        <w:rPr>
          <w:rFonts w:cs="Times New Roman"/>
          <w:sz w:val="24"/>
          <w:szCs w:val="24"/>
        </w:rPr>
      </w:pPr>
      <w:r w:rsidRPr="00126B2F">
        <w:rPr>
          <w:rFonts w:cs="Times New Roman"/>
          <w:sz w:val="24"/>
          <w:szCs w:val="24"/>
        </w:rPr>
        <w:t xml:space="preserve">Research </w:t>
      </w:r>
      <w:r w:rsidR="00724699" w:rsidRPr="00126B2F">
        <w:rPr>
          <w:rFonts w:cs="Times New Roman"/>
          <w:sz w:val="24"/>
          <w:szCs w:val="24"/>
        </w:rPr>
        <w:t xml:space="preserve">demonstrates rapid and relatively recent increases in </w:t>
      </w:r>
      <w:r w:rsidR="000D16C9" w:rsidRPr="00126B2F">
        <w:rPr>
          <w:rFonts w:cs="Times New Roman"/>
          <w:sz w:val="24"/>
          <w:szCs w:val="24"/>
        </w:rPr>
        <w:t>VCs</w:t>
      </w:r>
      <w:r w:rsidR="00724699" w:rsidRPr="00126B2F">
        <w:rPr>
          <w:rFonts w:cs="Times New Roman"/>
          <w:sz w:val="24"/>
          <w:szCs w:val="24"/>
        </w:rPr>
        <w:t xml:space="preserve">’ remuneration </w:t>
      </w:r>
      <w:r w:rsidR="00027245" w:rsidRPr="00126B2F">
        <w:rPr>
          <w:rFonts w:cs="Times New Roman"/>
          <w:sz w:val="24"/>
          <w:szCs w:val="24"/>
        </w:rPr>
        <w:t>with</w:t>
      </w:r>
      <w:r w:rsidR="008A5F6F" w:rsidRPr="00126B2F">
        <w:rPr>
          <w:rFonts w:cs="Times New Roman"/>
          <w:sz w:val="24"/>
          <w:szCs w:val="24"/>
        </w:rPr>
        <w:t xml:space="preserve"> </w:t>
      </w:r>
      <w:r w:rsidR="00724699" w:rsidRPr="00126B2F">
        <w:rPr>
          <w:rFonts w:cs="Times New Roman"/>
          <w:sz w:val="24"/>
          <w:szCs w:val="24"/>
        </w:rPr>
        <w:t>little connection between pay and performance (</w:t>
      </w:r>
      <w:proofErr w:type="spellStart"/>
      <w:r w:rsidR="00724699" w:rsidRPr="00126B2F">
        <w:rPr>
          <w:rFonts w:cs="Times New Roman"/>
          <w:sz w:val="24"/>
          <w:szCs w:val="24"/>
        </w:rPr>
        <w:t>Bachan</w:t>
      </w:r>
      <w:proofErr w:type="spellEnd"/>
      <w:r w:rsidR="00724699" w:rsidRPr="00126B2F">
        <w:rPr>
          <w:rFonts w:cs="Times New Roman"/>
          <w:sz w:val="24"/>
          <w:szCs w:val="24"/>
        </w:rPr>
        <w:t xml:space="preserve"> &amp; Reilly</w:t>
      </w:r>
      <w:r w:rsidR="008A5F6F" w:rsidRPr="00126B2F">
        <w:rPr>
          <w:rFonts w:cs="Times New Roman"/>
          <w:sz w:val="24"/>
          <w:szCs w:val="24"/>
        </w:rPr>
        <w:t>,</w:t>
      </w:r>
      <w:r w:rsidR="00724699" w:rsidRPr="00126B2F">
        <w:rPr>
          <w:rFonts w:cs="Times New Roman"/>
          <w:sz w:val="24"/>
          <w:szCs w:val="24"/>
        </w:rPr>
        <w:t xml:space="preserve"> 2015</w:t>
      </w:r>
      <w:r w:rsidR="006856C2" w:rsidRPr="00126B2F">
        <w:rPr>
          <w:rFonts w:cs="Times New Roman"/>
          <w:sz w:val="24"/>
          <w:szCs w:val="24"/>
        </w:rPr>
        <w:t xml:space="preserve">; </w:t>
      </w:r>
      <w:proofErr w:type="spellStart"/>
      <w:r w:rsidR="006856C2" w:rsidRPr="00126B2F">
        <w:rPr>
          <w:rFonts w:cs="Times New Roman"/>
          <w:sz w:val="24"/>
          <w:szCs w:val="24"/>
        </w:rPr>
        <w:t>Johnes</w:t>
      </w:r>
      <w:proofErr w:type="spellEnd"/>
      <w:r w:rsidR="006856C2" w:rsidRPr="00126B2F">
        <w:rPr>
          <w:rFonts w:cs="Times New Roman"/>
          <w:sz w:val="24"/>
          <w:szCs w:val="24"/>
        </w:rPr>
        <w:t xml:space="preserve"> </w:t>
      </w:r>
      <w:r w:rsidR="00A83490">
        <w:rPr>
          <w:rFonts w:cs="Times New Roman"/>
          <w:sz w:val="24"/>
          <w:szCs w:val="24"/>
        </w:rPr>
        <w:t xml:space="preserve">&amp; </w:t>
      </w:r>
      <w:proofErr w:type="spellStart"/>
      <w:r w:rsidR="006856C2" w:rsidRPr="00126B2F">
        <w:rPr>
          <w:rFonts w:cs="Times New Roman"/>
          <w:sz w:val="24"/>
          <w:szCs w:val="24"/>
        </w:rPr>
        <w:t>Virmani</w:t>
      </w:r>
      <w:proofErr w:type="spellEnd"/>
      <w:r w:rsidR="006856C2" w:rsidRPr="00126B2F">
        <w:rPr>
          <w:rFonts w:cs="Times New Roman"/>
          <w:sz w:val="24"/>
          <w:szCs w:val="24"/>
        </w:rPr>
        <w:t xml:space="preserve">, </w:t>
      </w:r>
      <w:r w:rsidR="007C3902" w:rsidRPr="00126B2F">
        <w:rPr>
          <w:rFonts w:cs="Times New Roman"/>
          <w:sz w:val="24"/>
          <w:szCs w:val="24"/>
        </w:rPr>
        <w:t>2020</w:t>
      </w:r>
      <w:r w:rsidR="00724699" w:rsidRPr="00126B2F">
        <w:rPr>
          <w:rFonts w:cs="Times New Roman"/>
          <w:sz w:val="24"/>
          <w:szCs w:val="24"/>
        </w:rPr>
        <w:t xml:space="preserve">). </w:t>
      </w:r>
      <w:r w:rsidR="00A83490">
        <w:rPr>
          <w:rFonts w:cs="Times New Roman"/>
          <w:sz w:val="24"/>
          <w:szCs w:val="24"/>
        </w:rPr>
        <w:t>Further</w:t>
      </w:r>
      <w:r w:rsidR="00027245" w:rsidRPr="00126B2F">
        <w:rPr>
          <w:rFonts w:cs="Times New Roman"/>
          <w:sz w:val="24"/>
          <w:szCs w:val="24"/>
        </w:rPr>
        <w:t xml:space="preserve">, there </w:t>
      </w:r>
      <w:r w:rsidR="00724699" w:rsidRPr="00126B2F">
        <w:rPr>
          <w:rFonts w:cs="Times New Roman"/>
          <w:sz w:val="24"/>
          <w:szCs w:val="24"/>
        </w:rPr>
        <w:t xml:space="preserve">is </w:t>
      </w:r>
      <w:r w:rsidRPr="00126B2F">
        <w:rPr>
          <w:rFonts w:cs="Times New Roman"/>
          <w:sz w:val="24"/>
          <w:szCs w:val="24"/>
        </w:rPr>
        <w:t>a demonstrated link between</w:t>
      </w:r>
      <w:r w:rsidR="00724699" w:rsidRPr="00126B2F">
        <w:rPr>
          <w:rFonts w:cs="Times New Roman"/>
          <w:sz w:val="24"/>
          <w:szCs w:val="24"/>
        </w:rPr>
        <w:t xml:space="preserve"> </w:t>
      </w:r>
      <w:r w:rsidRPr="00126B2F">
        <w:rPr>
          <w:rFonts w:cs="Times New Roman"/>
          <w:sz w:val="24"/>
          <w:szCs w:val="24"/>
        </w:rPr>
        <w:t>the</w:t>
      </w:r>
      <w:r w:rsidR="00A83490">
        <w:rPr>
          <w:rFonts w:cs="Times New Roman"/>
          <w:sz w:val="24"/>
          <w:szCs w:val="24"/>
        </w:rPr>
        <w:t>se</w:t>
      </w:r>
      <w:r w:rsidRPr="00126B2F">
        <w:rPr>
          <w:rFonts w:cs="Times New Roman"/>
          <w:sz w:val="24"/>
          <w:szCs w:val="24"/>
        </w:rPr>
        <w:t xml:space="preserve"> </w:t>
      </w:r>
      <w:r w:rsidR="00724699" w:rsidRPr="00126B2F">
        <w:rPr>
          <w:rFonts w:cs="Times New Roman"/>
          <w:sz w:val="24"/>
          <w:szCs w:val="24"/>
        </w:rPr>
        <w:t xml:space="preserve">increases </w:t>
      </w:r>
      <w:r w:rsidRPr="00126B2F">
        <w:rPr>
          <w:rFonts w:cs="Times New Roman"/>
          <w:sz w:val="24"/>
          <w:szCs w:val="24"/>
        </w:rPr>
        <w:t>and</w:t>
      </w:r>
      <w:r w:rsidR="00724699" w:rsidRPr="00126B2F">
        <w:rPr>
          <w:rFonts w:cs="Times New Roman"/>
          <w:sz w:val="24"/>
          <w:szCs w:val="24"/>
        </w:rPr>
        <w:t xml:space="preserve"> </w:t>
      </w:r>
      <w:r w:rsidR="008A5F6F" w:rsidRPr="00126B2F">
        <w:rPr>
          <w:rFonts w:cs="Times New Roman"/>
          <w:sz w:val="24"/>
          <w:szCs w:val="24"/>
        </w:rPr>
        <w:t xml:space="preserve">formulaic </w:t>
      </w:r>
      <w:r w:rsidR="000D16C9" w:rsidRPr="00126B2F">
        <w:rPr>
          <w:rFonts w:cs="Times New Roman"/>
          <w:sz w:val="24"/>
          <w:szCs w:val="24"/>
        </w:rPr>
        <w:t xml:space="preserve">pay-setting </w:t>
      </w:r>
      <w:r w:rsidR="00724699" w:rsidRPr="00126B2F">
        <w:rPr>
          <w:rFonts w:cs="Times New Roman"/>
          <w:sz w:val="24"/>
          <w:szCs w:val="24"/>
        </w:rPr>
        <w:t>mechanisms such as benchmarking (</w:t>
      </w:r>
      <w:proofErr w:type="spellStart"/>
      <w:r w:rsidR="00724699" w:rsidRPr="00126B2F">
        <w:rPr>
          <w:rFonts w:cs="Times New Roman"/>
          <w:sz w:val="24"/>
          <w:szCs w:val="24"/>
        </w:rPr>
        <w:t>Gschwandtner</w:t>
      </w:r>
      <w:proofErr w:type="spellEnd"/>
      <w:r w:rsidR="00724699" w:rsidRPr="00126B2F">
        <w:rPr>
          <w:rFonts w:cs="Times New Roman"/>
          <w:sz w:val="24"/>
          <w:szCs w:val="24"/>
        </w:rPr>
        <w:t xml:space="preserve"> &amp; McManus</w:t>
      </w:r>
      <w:r w:rsidR="008A5F6F" w:rsidRPr="00126B2F">
        <w:rPr>
          <w:rFonts w:cs="Times New Roman"/>
          <w:sz w:val="24"/>
          <w:szCs w:val="24"/>
        </w:rPr>
        <w:t>,</w:t>
      </w:r>
      <w:r w:rsidR="00724699" w:rsidRPr="00126B2F">
        <w:rPr>
          <w:rFonts w:cs="Times New Roman"/>
          <w:sz w:val="24"/>
          <w:szCs w:val="24"/>
        </w:rPr>
        <w:t xml:space="preserve"> 2018)</w:t>
      </w:r>
      <w:r w:rsidR="00A83490">
        <w:rPr>
          <w:rFonts w:cs="Times New Roman"/>
          <w:sz w:val="24"/>
          <w:szCs w:val="24"/>
        </w:rPr>
        <w:t xml:space="preserve">. However, that </w:t>
      </w:r>
      <w:r w:rsidR="00724699" w:rsidRPr="00126B2F">
        <w:rPr>
          <w:rFonts w:cs="Times New Roman"/>
          <w:sz w:val="24"/>
          <w:szCs w:val="24"/>
        </w:rPr>
        <w:t xml:space="preserve">literature does </w:t>
      </w:r>
      <w:r w:rsidR="006856C2" w:rsidRPr="00126B2F">
        <w:rPr>
          <w:rFonts w:cs="Times New Roman"/>
          <w:sz w:val="24"/>
          <w:szCs w:val="24"/>
        </w:rPr>
        <w:t>not address</w:t>
      </w:r>
      <w:r w:rsidR="007B7F12" w:rsidRPr="00126B2F">
        <w:rPr>
          <w:rFonts w:cs="Times New Roman"/>
          <w:sz w:val="24"/>
          <w:szCs w:val="24"/>
        </w:rPr>
        <w:t xml:space="preserve">, because the methodology is unsuited, </w:t>
      </w:r>
      <w:r w:rsidRPr="00126B2F">
        <w:rPr>
          <w:rFonts w:cs="Times New Roman"/>
          <w:sz w:val="24"/>
          <w:szCs w:val="24"/>
        </w:rPr>
        <w:t>th</w:t>
      </w:r>
      <w:r w:rsidR="00817288" w:rsidRPr="00126B2F">
        <w:rPr>
          <w:rFonts w:cs="Times New Roman"/>
          <w:sz w:val="24"/>
          <w:szCs w:val="24"/>
        </w:rPr>
        <w:t xml:space="preserve">e </w:t>
      </w:r>
      <w:r w:rsidRPr="00126B2F">
        <w:rPr>
          <w:rFonts w:cs="Times New Roman"/>
          <w:sz w:val="24"/>
          <w:szCs w:val="24"/>
        </w:rPr>
        <w:t xml:space="preserve">governance factors that </w:t>
      </w:r>
      <w:r w:rsidR="00817288" w:rsidRPr="00126B2F">
        <w:rPr>
          <w:rFonts w:cs="Times New Roman"/>
          <w:sz w:val="24"/>
          <w:szCs w:val="24"/>
        </w:rPr>
        <w:t xml:space="preserve">determine the </w:t>
      </w:r>
      <w:r w:rsidR="00D92D50" w:rsidRPr="00126B2F">
        <w:rPr>
          <w:rFonts w:cs="Times New Roman"/>
          <w:sz w:val="24"/>
          <w:szCs w:val="24"/>
        </w:rPr>
        <w:t xml:space="preserve">allocation of remuneration. </w:t>
      </w:r>
      <w:r w:rsidR="000528CA" w:rsidRPr="00126B2F">
        <w:rPr>
          <w:rFonts w:cs="Times New Roman"/>
          <w:sz w:val="24"/>
          <w:szCs w:val="24"/>
        </w:rPr>
        <w:t>Accordingly, t</w:t>
      </w:r>
      <w:r w:rsidR="00061169" w:rsidRPr="00126B2F">
        <w:rPr>
          <w:rFonts w:cs="Times New Roman"/>
          <w:sz w:val="24"/>
          <w:szCs w:val="24"/>
        </w:rPr>
        <w:t xml:space="preserve">his paper </w:t>
      </w:r>
      <w:r w:rsidR="006856C2" w:rsidRPr="00126B2F">
        <w:rPr>
          <w:rFonts w:cs="Times New Roman"/>
          <w:sz w:val="24"/>
          <w:szCs w:val="24"/>
        </w:rPr>
        <w:t xml:space="preserve">advances </w:t>
      </w:r>
      <w:r w:rsidR="007B7F12" w:rsidRPr="00126B2F">
        <w:rPr>
          <w:rFonts w:cs="Times New Roman"/>
          <w:sz w:val="24"/>
          <w:szCs w:val="24"/>
        </w:rPr>
        <w:t>understanding of th</w:t>
      </w:r>
      <w:r w:rsidR="00A83490">
        <w:rPr>
          <w:rFonts w:cs="Times New Roman"/>
          <w:sz w:val="24"/>
          <w:szCs w:val="24"/>
        </w:rPr>
        <w:t>e</w:t>
      </w:r>
      <w:r w:rsidR="007B7F12" w:rsidRPr="00126B2F">
        <w:rPr>
          <w:rFonts w:cs="Times New Roman"/>
          <w:sz w:val="24"/>
          <w:szCs w:val="24"/>
        </w:rPr>
        <w:t xml:space="preserve"> issue by </w:t>
      </w:r>
      <w:r w:rsidRPr="00126B2F">
        <w:rPr>
          <w:rFonts w:cs="Times New Roman"/>
          <w:sz w:val="24"/>
          <w:szCs w:val="24"/>
        </w:rPr>
        <w:t>explor</w:t>
      </w:r>
      <w:r w:rsidR="007B7F12" w:rsidRPr="00126B2F">
        <w:rPr>
          <w:rFonts w:cs="Times New Roman"/>
          <w:sz w:val="24"/>
          <w:szCs w:val="24"/>
        </w:rPr>
        <w:t>ing</w:t>
      </w:r>
      <w:r w:rsidRPr="00126B2F">
        <w:rPr>
          <w:rFonts w:cs="Times New Roman"/>
          <w:sz w:val="24"/>
          <w:szCs w:val="24"/>
        </w:rPr>
        <w:t xml:space="preserve"> the dynamics of </w:t>
      </w:r>
      <w:r w:rsidR="008A5F6F" w:rsidRPr="00126B2F">
        <w:rPr>
          <w:rFonts w:cs="Times New Roman"/>
          <w:sz w:val="24"/>
          <w:szCs w:val="24"/>
        </w:rPr>
        <w:t>VC</w:t>
      </w:r>
      <w:r w:rsidR="00061169" w:rsidRPr="00126B2F">
        <w:rPr>
          <w:rFonts w:cs="Times New Roman"/>
          <w:sz w:val="24"/>
          <w:szCs w:val="24"/>
        </w:rPr>
        <w:t xml:space="preserve"> remuneration in</w:t>
      </w:r>
      <w:r w:rsidR="00A83490">
        <w:rPr>
          <w:rFonts w:cs="Times New Roman"/>
          <w:sz w:val="24"/>
          <w:szCs w:val="24"/>
        </w:rPr>
        <w:t xml:space="preserve"> </w:t>
      </w:r>
      <w:r w:rsidRPr="00126B2F">
        <w:rPr>
          <w:rFonts w:cs="Times New Roman"/>
          <w:sz w:val="24"/>
          <w:szCs w:val="24"/>
        </w:rPr>
        <w:t xml:space="preserve">the context of </w:t>
      </w:r>
      <w:r w:rsidR="00061169" w:rsidRPr="00126B2F">
        <w:rPr>
          <w:rFonts w:cs="Times New Roman"/>
          <w:sz w:val="24"/>
          <w:szCs w:val="24"/>
        </w:rPr>
        <w:t xml:space="preserve">governance </w:t>
      </w:r>
      <w:r w:rsidR="000528CA" w:rsidRPr="00126B2F">
        <w:rPr>
          <w:rFonts w:cs="Times New Roman"/>
          <w:sz w:val="24"/>
          <w:szCs w:val="24"/>
        </w:rPr>
        <w:t xml:space="preserve">changes </w:t>
      </w:r>
      <w:r w:rsidRPr="00126B2F">
        <w:rPr>
          <w:rFonts w:cs="Times New Roman"/>
          <w:sz w:val="24"/>
          <w:szCs w:val="24"/>
        </w:rPr>
        <w:t xml:space="preserve">in </w:t>
      </w:r>
      <w:r w:rsidR="000528CA" w:rsidRPr="00126B2F">
        <w:rPr>
          <w:rFonts w:cs="Times New Roman"/>
          <w:sz w:val="24"/>
          <w:szCs w:val="24"/>
        </w:rPr>
        <w:t xml:space="preserve">universities </w:t>
      </w:r>
      <w:r w:rsidRPr="00126B2F">
        <w:rPr>
          <w:rFonts w:cs="Times New Roman"/>
          <w:sz w:val="24"/>
          <w:szCs w:val="24"/>
        </w:rPr>
        <w:t xml:space="preserve">as they </w:t>
      </w:r>
      <w:r w:rsidR="000528CA" w:rsidRPr="00126B2F">
        <w:rPr>
          <w:rFonts w:cs="Times New Roman"/>
          <w:sz w:val="24"/>
          <w:szCs w:val="24"/>
        </w:rPr>
        <w:t xml:space="preserve">have </w:t>
      </w:r>
      <w:r w:rsidR="00027245" w:rsidRPr="00126B2F">
        <w:rPr>
          <w:rFonts w:cs="Times New Roman"/>
          <w:sz w:val="24"/>
          <w:szCs w:val="24"/>
        </w:rPr>
        <w:t xml:space="preserve">become progressively </w:t>
      </w:r>
      <w:proofErr w:type="spellStart"/>
      <w:r w:rsidR="006473DA" w:rsidRPr="00126B2F">
        <w:rPr>
          <w:rFonts w:cs="Times New Roman"/>
          <w:sz w:val="24"/>
          <w:szCs w:val="24"/>
        </w:rPr>
        <w:t>marketised</w:t>
      </w:r>
      <w:proofErr w:type="spellEnd"/>
      <w:r w:rsidR="000528CA" w:rsidRPr="00126B2F">
        <w:rPr>
          <w:rFonts w:cs="Times New Roman"/>
          <w:sz w:val="24"/>
          <w:szCs w:val="24"/>
        </w:rPr>
        <w:t xml:space="preserve">. </w:t>
      </w:r>
      <w:r w:rsidR="00A83490">
        <w:rPr>
          <w:rFonts w:cs="Times New Roman"/>
          <w:sz w:val="24"/>
          <w:szCs w:val="24"/>
        </w:rPr>
        <w:t xml:space="preserve">Although we draw on empirical </w:t>
      </w:r>
      <w:r w:rsidR="00422B00">
        <w:rPr>
          <w:rFonts w:cs="Times New Roman"/>
          <w:sz w:val="24"/>
          <w:szCs w:val="24"/>
        </w:rPr>
        <w:t xml:space="preserve">examples from both Australia and the UK, </w:t>
      </w:r>
      <w:r w:rsidR="00D123AA">
        <w:rPr>
          <w:rFonts w:cs="Times New Roman"/>
          <w:sz w:val="24"/>
          <w:szCs w:val="24"/>
        </w:rPr>
        <w:t xml:space="preserve">this is not a comparative paper. Instead, </w:t>
      </w:r>
      <w:r w:rsidR="00422B00">
        <w:rPr>
          <w:rFonts w:cs="Times New Roman"/>
          <w:sz w:val="24"/>
          <w:szCs w:val="24"/>
        </w:rPr>
        <w:t xml:space="preserve">we show that neither </w:t>
      </w:r>
      <w:r w:rsidR="00D123AA">
        <w:rPr>
          <w:rFonts w:cs="Times New Roman"/>
          <w:sz w:val="24"/>
          <w:szCs w:val="24"/>
        </w:rPr>
        <w:t xml:space="preserve">nation is an outlier. </w:t>
      </w:r>
      <w:r w:rsidRPr="00126B2F">
        <w:rPr>
          <w:rFonts w:cs="Times New Roman"/>
          <w:sz w:val="24"/>
          <w:szCs w:val="24"/>
        </w:rPr>
        <w:t xml:space="preserve">We </w:t>
      </w:r>
      <w:r w:rsidR="00D92D50" w:rsidRPr="00126B2F">
        <w:rPr>
          <w:rFonts w:cs="Times New Roman"/>
          <w:sz w:val="24"/>
          <w:szCs w:val="24"/>
        </w:rPr>
        <w:t>find</w:t>
      </w:r>
      <w:r w:rsidRPr="00126B2F">
        <w:rPr>
          <w:rFonts w:cs="Times New Roman"/>
          <w:sz w:val="24"/>
          <w:szCs w:val="24"/>
        </w:rPr>
        <w:t xml:space="preserve"> a high degree of theoretically predictable and empirically verifiable correlation between rising </w:t>
      </w:r>
      <w:r w:rsidR="00027245" w:rsidRPr="00126B2F">
        <w:rPr>
          <w:rFonts w:cs="Times New Roman"/>
          <w:sz w:val="24"/>
          <w:szCs w:val="24"/>
        </w:rPr>
        <w:t xml:space="preserve">VC </w:t>
      </w:r>
      <w:r w:rsidRPr="00126B2F">
        <w:rPr>
          <w:rFonts w:cs="Times New Roman"/>
          <w:sz w:val="24"/>
          <w:szCs w:val="24"/>
        </w:rPr>
        <w:t xml:space="preserve">remuneration levels and </w:t>
      </w:r>
      <w:r w:rsidR="007B7F12" w:rsidRPr="00126B2F">
        <w:rPr>
          <w:rFonts w:cs="Times New Roman"/>
          <w:sz w:val="24"/>
          <w:szCs w:val="24"/>
        </w:rPr>
        <w:t>shift</w:t>
      </w:r>
      <w:r w:rsidRPr="00126B2F">
        <w:rPr>
          <w:rFonts w:cs="Times New Roman"/>
          <w:sz w:val="24"/>
          <w:szCs w:val="24"/>
        </w:rPr>
        <w:t xml:space="preserve">s </w:t>
      </w:r>
      <w:r w:rsidR="007B7F12" w:rsidRPr="00126B2F">
        <w:rPr>
          <w:rFonts w:cs="Times New Roman"/>
          <w:sz w:val="24"/>
          <w:szCs w:val="24"/>
        </w:rPr>
        <w:t xml:space="preserve">towards more market-based </w:t>
      </w:r>
      <w:r w:rsidRPr="00126B2F">
        <w:rPr>
          <w:rFonts w:cs="Times New Roman"/>
          <w:sz w:val="24"/>
          <w:szCs w:val="24"/>
        </w:rPr>
        <w:t>governance</w:t>
      </w:r>
      <w:r w:rsidR="00817288" w:rsidRPr="00126B2F">
        <w:rPr>
          <w:rFonts w:cs="Times New Roman"/>
          <w:sz w:val="24"/>
          <w:szCs w:val="24"/>
        </w:rPr>
        <w:t xml:space="preserve"> regimes</w:t>
      </w:r>
      <w:r w:rsidR="00027245" w:rsidRPr="00126B2F">
        <w:rPr>
          <w:rFonts w:cs="Times New Roman"/>
          <w:sz w:val="24"/>
          <w:szCs w:val="24"/>
        </w:rPr>
        <w:t xml:space="preserve"> in Australian and UK universities</w:t>
      </w:r>
      <w:r w:rsidRPr="00126B2F">
        <w:rPr>
          <w:rFonts w:cs="Times New Roman"/>
          <w:sz w:val="24"/>
          <w:szCs w:val="24"/>
        </w:rPr>
        <w:t xml:space="preserve">. </w:t>
      </w:r>
      <w:r w:rsidR="00AF7588" w:rsidRPr="00126B2F">
        <w:rPr>
          <w:rFonts w:cs="Times New Roman"/>
          <w:sz w:val="24"/>
          <w:szCs w:val="24"/>
        </w:rPr>
        <w:t xml:space="preserve">The escalation of VC remuneration in this context suggests rent-taking. </w:t>
      </w:r>
    </w:p>
    <w:p w14:paraId="4AEF88E7" w14:textId="34BD170A" w:rsidR="000905F8" w:rsidRPr="00126B2F" w:rsidRDefault="000905F8" w:rsidP="00F7771F">
      <w:pPr>
        <w:spacing w:after="0" w:line="360" w:lineRule="auto"/>
        <w:rPr>
          <w:rFonts w:cs="Times New Roman"/>
          <w:sz w:val="24"/>
          <w:szCs w:val="24"/>
        </w:rPr>
      </w:pPr>
    </w:p>
    <w:p w14:paraId="69205DDF" w14:textId="1AA6B7C2" w:rsidR="00E90607" w:rsidRDefault="007B7F12" w:rsidP="00F7771F">
      <w:pPr>
        <w:spacing w:after="0" w:line="360" w:lineRule="auto"/>
        <w:rPr>
          <w:rFonts w:cs="Times New Roman"/>
          <w:sz w:val="24"/>
          <w:szCs w:val="24"/>
        </w:rPr>
      </w:pPr>
      <w:r w:rsidRPr="00126B2F">
        <w:rPr>
          <w:rFonts w:cs="Times New Roman"/>
          <w:sz w:val="24"/>
          <w:szCs w:val="24"/>
        </w:rPr>
        <w:t xml:space="preserve">We </w:t>
      </w:r>
      <w:r w:rsidR="00C44913" w:rsidRPr="00126B2F">
        <w:rPr>
          <w:rFonts w:cs="Times New Roman"/>
          <w:sz w:val="24"/>
          <w:szCs w:val="24"/>
        </w:rPr>
        <w:t xml:space="preserve">first conceptualise remuneration and </w:t>
      </w:r>
      <w:r w:rsidRPr="00126B2F">
        <w:rPr>
          <w:rFonts w:cs="Times New Roman"/>
          <w:sz w:val="24"/>
          <w:szCs w:val="24"/>
        </w:rPr>
        <w:t>argue that its form</w:t>
      </w:r>
      <w:r w:rsidR="00D22205" w:rsidRPr="00126B2F">
        <w:rPr>
          <w:rFonts w:cs="Times New Roman"/>
          <w:sz w:val="24"/>
          <w:szCs w:val="24"/>
        </w:rPr>
        <w:t xml:space="preserve"> and size is determined by </w:t>
      </w:r>
      <w:r w:rsidR="005B76F7" w:rsidRPr="00126B2F">
        <w:rPr>
          <w:rFonts w:cs="Times New Roman"/>
          <w:sz w:val="24"/>
          <w:szCs w:val="24"/>
        </w:rPr>
        <w:t xml:space="preserve">organisations’ </w:t>
      </w:r>
      <w:r w:rsidR="00D22205" w:rsidRPr="00126B2F">
        <w:rPr>
          <w:rFonts w:cs="Times New Roman"/>
          <w:sz w:val="24"/>
          <w:szCs w:val="24"/>
        </w:rPr>
        <w:t>social, economic, legal and structural dynam</w:t>
      </w:r>
      <w:r w:rsidR="00D22361" w:rsidRPr="00126B2F">
        <w:rPr>
          <w:rFonts w:cs="Times New Roman"/>
          <w:sz w:val="24"/>
          <w:szCs w:val="24"/>
        </w:rPr>
        <w:t xml:space="preserve">ics, </w:t>
      </w:r>
      <w:r w:rsidR="00D22205" w:rsidRPr="00126B2F">
        <w:rPr>
          <w:rFonts w:cs="Times New Roman"/>
          <w:sz w:val="24"/>
          <w:szCs w:val="24"/>
        </w:rPr>
        <w:t xml:space="preserve">formalised </w:t>
      </w:r>
      <w:r w:rsidR="002F57BE" w:rsidRPr="00126B2F">
        <w:rPr>
          <w:rFonts w:cs="Times New Roman"/>
          <w:sz w:val="24"/>
          <w:szCs w:val="24"/>
        </w:rPr>
        <w:t>through</w:t>
      </w:r>
      <w:r w:rsidR="00D22205" w:rsidRPr="00126B2F">
        <w:rPr>
          <w:rFonts w:cs="Times New Roman"/>
          <w:sz w:val="24"/>
          <w:szCs w:val="24"/>
        </w:rPr>
        <w:t xml:space="preserve"> </w:t>
      </w:r>
      <w:r w:rsidR="00092894" w:rsidRPr="00126B2F">
        <w:rPr>
          <w:rFonts w:cs="Times New Roman"/>
          <w:sz w:val="24"/>
          <w:szCs w:val="24"/>
        </w:rPr>
        <w:t xml:space="preserve">regimes </w:t>
      </w:r>
      <w:r w:rsidR="00092894" w:rsidRPr="00126B2F">
        <w:rPr>
          <w:rFonts w:cs="Times New Roman"/>
          <w:sz w:val="24"/>
          <w:szCs w:val="24"/>
        </w:rPr>
        <w:lastRenderedPageBreak/>
        <w:t xml:space="preserve">of </w:t>
      </w:r>
      <w:r w:rsidR="00D50306" w:rsidRPr="00126B2F">
        <w:rPr>
          <w:rFonts w:cs="Times New Roman"/>
          <w:sz w:val="24"/>
          <w:szCs w:val="24"/>
        </w:rPr>
        <w:t xml:space="preserve">endogenous and exogenous governance control </w:t>
      </w:r>
      <w:r w:rsidR="00D50306" w:rsidRPr="00126B2F">
        <w:rPr>
          <w:rFonts w:cs="Times New Roman"/>
          <w:noProof/>
          <w:sz w:val="24"/>
          <w:szCs w:val="24"/>
        </w:rPr>
        <w:t>(Marginson &amp; Considine 2000; Rowlands 2017)</w:t>
      </w:r>
      <w:r w:rsidR="002F57BE" w:rsidRPr="00126B2F">
        <w:rPr>
          <w:rFonts w:cs="Times New Roman"/>
          <w:sz w:val="24"/>
          <w:szCs w:val="24"/>
        </w:rPr>
        <w:t>.</w:t>
      </w:r>
      <w:r w:rsidR="00D22361" w:rsidRPr="00126B2F">
        <w:rPr>
          <w:rFonts w:cs="Times New Roman"/>
          <w:sz w:val="24"/>
          <w:szCs w:val="24"/>
        </w:rPr>
        <w:t xml:space="preserve"> </w:t>
      </w:r>
      <w:r w:rsidR="00D22205" w:rsidRPr="00126B2F">
        <w:rPr>
          <w:rFonts w:cs="Times New Roman"/>
          <w:sz w:val="24"/>
          <w:szCs w:val="24"/>
        </w:rPr>
        <w:t xml:space="preserve">We </w:t>
      </w:r>
      <w:r w:rsidR="003815C7" w:rsidRPr="00126B2F">
        <w:rPr>
          <w:rFonts w:cs="Times New Roman"/>
          <w:sz w:val="24"/>
          <w:szCs w:val="24"/>
        </w:rPr>
        <w:t xml:space="preserve">then </w:t>
      </w:r>
      <w:r w:rsidR="00D36952" w:rsidRPr="00126B2F">
        <w:rPr>
          <w:rFonts w:cs="Times New Roman"/>
          <w:sz w:val="24"/>
          <w:szCs w:val="24"/>
        </w:rPr>
        <w:t xml:space="preserve">review the existing literature on </w:t>
      </w:r>
      <w:r w:rsidR="000D16C9" w:rsidRPr="00126B2F">
        <w:rPr>
          <w:rFonts w:cs="Times New Roman"/>
          <w:sz w:val="24"/>
          <w:szCs w:val="24"/>
        </w:rPr>
        <w:t>VCs</w:t>
      </w:r>
      <w:r w:rsidR="00D36952" w:rsidRPr="00126B2F">
        <w:rPr>
          <w:rFonts w:cs="Times New Roman"/>
          <w:sz w:val="24"/>
          <w:szCs w:val="24"/>
        </w:rPr>
        <w:t>’ remuneration</w:t>
      </w:r>
      <w:r w:rsidRPr="00126B2F">
        <w:rPr>
          <w:rFonts w:cs="Times New Roman"/>
          <w:sz w:val="24"/>
          <w:szCs w:val="24"/>
        </w:rPr>
        <w:t>, and describ</w:t>
      </w:r>
      <w:r w:rsidR="008215B5" w:rsidRPr="00126B2F">
        <w:rPr>
          <w:rFonts w:cs="Times New Roman"/>
          <w:sz w:val="24"/>
          <w:szCs w:val="24"/>
        </w:rPr>
        <w:t>e</w:t>
      </w:r>
      <w:r w:rsidRPr="00126B2F">
        <w:rPr>
          <w:rFonts w:cs="Times New Roman"/>
          <w:sz w:val="24"/>
          <w:szCs w:val="24"/>
        </w:rPr>
        <w:t xml:space="preserve"> the techniques </w:t>
      </w:r>
      <w:r w:rsidR="008215B5" w:rsidRPr="00126B2F">
        <w:rPr>
          <w:rFonts w:cs="Times New Roman"/>
          <w:sz w:val="24"/>
          <w:szCs w:val="24"/>
        </w:rPr>
        <w:t>utilis</w:t>
      </w:r>
      <w:r w:rsidRPr="00126B2F">
        <w:rPr>
          <w:rFonts w:cs="Times New Roman"/>
          <w:sz w:val="24"/>
          <w:szCs w:val="24"/>
        </w:rPr>
        <w:t xml:space="preserve">ed which drive </w:t>
      </w:r>
      <w:r w:rsidR="006473DA" w:rsidRPr="00126B2F">
        <w:rPr>
          <w:rFonts w:cs="Times New Roman"/>
          <w:sz w:val="24"/>
          <w:szCs w:val="24"/>
        </w:rPr>
        <w:t>increases</w:t>
      </w:r>
      <w:r w:rsidR="00D36952" w:rsidRPr="00126B2F">
        <w:rPr>
          <w:rFonts w:cs="Times New Roman"/>
          <w:sz w:val="24"/>
          <w:szCs w:val="24"/>
        </w:rPr>
        <w:t>. Following this</w:t>
      </w:r>
      <w:r w:rsidR="000528CA" w:rsidRPr="00126B2F">
        <w:rPr>
          <w:rFonts w:cs="Times New Roman"/>
          <w:sz w:val="24"/>
          <w:szCs w:val="24"/>
        </w:rPr>
        <w:t>,</w:t>
      </w:r>
      <w:r w:rsidR="00D36952" w:rsidRPr="00126B2F">
        <w:rPr>
          <w:rFonts w:cs="Times New Roman"/>
          <w:sz w:val="24"/>
          <w:szCs w:val="24"/>
        </w:rPr>
        <w:t xml:space="preserve"> we </w:t>
      </w:r>
      <w:r w:rsidR="00C54FFC" w:rsidRPr="00126B2F">
        <w:rPr>
          <w:rFonts w:cs="Times New Roman"/>
          <w:sz w:val="24"/>
          <w:szCs w:val="24"/>
        </w:rPr>
        <w:t xml:space="preserve">discuss the shifting nature of </w:t>
      </w:r>
      <w:r w:rsidRPr="00126B2F">
        <w:rPr>
          <w:rFonts w:cs="Times New Roman"/>
          <w:sz w:val="24"/>
          <w:szCs w:val="24"/>
        </w:rPr>
        <w:t>Australian and UK</w:t>
      </w:r>
      <w:r w:rsidR="00C54FFC" w:rsidRPr="00126B2F">
        <w:rPr>
          <w:rFonts w:cs="Times New Roman"/>
          <w:sz w:val="24"/>
          <w:szCs w:val="24"/>
        </w:rPr>
        <w:t xml:space="preserve"> university governance and relate this to VC remuneration. </w:t>
      </w:r>
      <w:r w:rsidR="00AF5917" w:rsidRPr="00AF5917">
        <w:rPr>
          <w:rFonts w:cs="Times New Roman"/>
          <w:sz w:val="24"/>
          <w:szCs w:val="24"/>
        </w:rPr>
        <w:t>After a short description of remuneration-setting mechanisms, we argue in conclusion that part of VCs’ remuneration can be argued to be rent rather than salary, and make the case for governance reform.</w:t>
      </w:r>
    </w:p>
    <w:p w14:paraId="5B44AB67" w14:textId="77777777" w:rsidR="00AF5917" w:rsidRPr="00126B2F" w:rsidRDefault="00AF5917" w:rsidP="00F7771F">
      <w:pPr>
        <w:spacing w:after="0" w:line="360" w:lineRule="auto"/>
        <w:rPr>
          <w:rFonts w:cs="Times New Roman"/>
          <w:b/>
          <w:sz w:val="24"/>
          <w:szCs w:val="24"/>
        </w:rPr>
      </w:pPr>
    </w:p>
    <w:p w14:paraId="31A0CA2D" w14:textId="47B45A80" w:rsidR="00D22205" w:rsidRPr="00126B2F" w:rsidRDefault="00D22205" w:rsidP="00F7771F">
      <w:pPr>
        <w:spacing w:after="0" w:line="360" w:lineRule="auto"/>
        <w:rPr>
          <w:rFonts w:cs="Times New Roman"/>
          <w:b/>
          <w:sz w:val="24"/>
          <w:szCs w:val="24"/>
        </w:rPr>
      </w:pPr>
      <w:r w:rsidRPr="00126B2F">
        <w:rPr>
          <w:rFonts w:cs="Times New Roman"/>
          <w:b/>
          <w:sz w:val="24"/>
          <w:szCs w:val="24"/>
        </w:rPr>
        <w:t>Remuneration and governanc</w:t>
      </w:r>
      <w:r w:rsidR="00AF56B4" w:rsidRPr="00126B2F">
        <w:rPr>
          <w:rFonts w:cs="Times New Roman"/>
          <w:b/>
          <w:sz w:val="24"/>
          <w:szCs w:val="24"/>
        </w:rPr>
        <w:t>e</w:t>
      </w:r>
    </w:p>
    <w:p w14:paraId="5E449D30" w14:textId="64EE164D" w:rsidR="00D50306" w:rsidRPr="00126B2F" w:rsidRDefault="00D22205" w:rsidP="00F7771F">
      <w:pPr>
        <w:spacing w:after="0" w:line="360" w:lineRule="auto"/>
        <w:rPr>
          <w:rFonts w:cs="Times New Roman"/>
          <w:sz w:val="24"/>
          <w:szCs w:val="24"/>
        </w:rPr>
      </w:pPr>
      <w:r w:rsidRPr="00126B2F">
        <w:rPr>
          <w:rFonts w:cs="Times New Roman"/>
          <w:sz w:val="24"/>
          <w:szCs w:val="24"/>
        </w:rPr>
        <w:t>Economics identifies four ideal</w:t>
      </w:r>
      <w:r w:rsidR="00B53204" w:rsidRPr="00126B2F">
        <w:rPr>
          <w:rFonts w:cs="Times New Roman"/>
          <w:sz w:val="24"/>
          <w:szCs w:val="24"/>
        </w:rPr>
        <w:t xml:space="preserve"> types</w:t>
      </w:r>
      <w:r w:rsidRPr="00126B2F">
        <w:rPr>
          <w:rFonts w:cs="Times New Roman"/>
          <w:sz w:val="24"/>
          <w:szCs w:val="24"/>
        </w:rPr>
        <w:t xml:space="preserve"> of remuneration: salaries</w:t>
      </w:r>
      <w:r w:rsidR="00D92D50" w:rsidRPr="00126B2F">
        <w:rPr>
          <w:rFonts w:cs="Times New Roman"/>
          <w:sz w:val="24"/>
          <w:szCs w:val="24"/>
        </w:rPr>
        <w:t>/wages</w:t>
      </w:r>
      <w:r w:rsidRPr="00126B2F">
        <w:rPr>
          <w:rFonts w:cs="Times New Roman"/>
          <w:sz w:val="24"/>
          <w:szCs w:val="24"/>
        </w:rPr>
        <w:t>, stipends, profits and rent. Salaries are paid in contractual exchange for work undertaken</w:t>
      </w:r>
      <w:r w:rsidR="00075ABA" w:rsidRPr="00126B2F">
        <w:rPr>
          <w:rFonts w:cs="Times New Roman"/>
          <w:sz w:val="24"/>
          <w:szCs w:val="24"/>
        </w:rPr>
        <w:t xml:space="preserve"> and are </w:t>
      </w:r>
      <w:r w:rsidRPr="00126B2F">
        <w:rPr>
          <w:rFonts w:cs="Times New Roman"/>
          <w:sz w:val="24"/>
          <w:szCs w:val="24"/>
        </w:rPr>
        <w:t>a cost of production. Stipend</w:t>
      </w:r>
      <w:r w:rsidR="00075ABA" w:rsidRPr="00126B2F">
        <w:rPr>
          <w:rFonts w:cs="Times New Roman"/>
          <w:sz w:val="24"/>
          <w:szCs w:val="24"/>
        </w:rPr>
        <w:t>s</w:t>
      </w:r>
      <w:r w:rsidRPr="00126B2F">
        <w:rPr>
          <w:rFonts w:cs="Times New Roman"/>
          <w:sz w:val="24"/>
          <w:szCs w:val="24"/>
        </w:rPr>
        <w:t xml:space="preserve"> are </w:t>
      </w:r>
      <w:r w:rsidR="00075ABA" w:rsidRPr="00126B2F">
        <w:rPr>
          <w:rFonts w:cs="Times New Roman"/>
          <w:sz w:val="24"/>
          <w:szCs w:val="24"/>
        </w:rPr>
        <w:t>paid</w:t>
      </w:r>
      <w:r w:rsidRPr="00126B2F">
        <w:rPr>
          <w:rFonts w:cs="Times New Roman"/>
          <w:sz w:val="24"/>
          <w:szCs w:val="24"/>
        </w:rPr>
        <w:t xml:space="preserve"> by organisations (or their patrons) to enable </w:t>
      </w:r>
      <w:r w:rsidR="003815C7" w:rsidRPr="00126B2F">
        <w:rPr>
          <w:rFonts w:cs="Times New Roman"/>
          <w:sz w:val="24"/>
          <w:szCs w:val="24"/>
        </w:rPr>
        <w:t>unsalaried p</w:t>
      </w:r>
      <w:r w:rsidR="00BB09BF" w:rsidRPr="00126B2F">
        <w:rPr>
          <w:rFonts w:cs="Times New Roman"/>
          <w:sz w:val="24"/>
          <w:szCs w:val="24"/>
        </w:rPr>
        <w:t>eople t</w:t>
      </w:r>
      <w:r w:rsidRPr="00126B2F">
        <w:rPr>
          <w:rFonts w:cs="Times New Roman"/>
          <w:sz w:val="24"/>
          <w:szCs w:val="24"/>
        </w:rPr>
        <w:t>o undertake activities deemed socially or organisationally valuable – such as grant-aided research students</w:t>
      </w:r>
      <w:r w:rsidR="00390B3B" w:rsidRPr="00126B2F">
        <w:rPr>
          <w:rFonts w:cs="Times New Roman"/>
          <w:sz w:val="24"/>
          <w:szCs w:val="24"/>
        </w:rPr>
        <w:t xml:space="preserve"> (</w:t>
      </w:r>
      <w:proofErr w:type="spellStart"/>
      <w:r w:rsidR="00390B3B" w:rsidRPr="00126B2F">
        <w:rPr>
          <w:rFonts w:cs="Times New Roman"/>
          <w:sz w:val="24"/>
          <w:szCs w:val="24"/>
          <w:lang w:val="en-AU"/>
        </w:rPr>
        <w:t>Mauss</w:t>
      </w:r>
      <w:proofErr w:type="spellEnd"/>
      <w:r w:rsidR="00390B3B" w:rsidRPr="00126B2F">
        <w:rPr>
          <w:rFonts w:cs="Times New Roman"/>
          <w:sz w:val="24"/>
          <w:szCs w:val="24"/>
          <w:lang w:val="en-AU"/>
        </w:rPr>
        <w:t>,</w:t>
      </w:r>
      <w:r w:rsidR="007C3902" w:rsidRPr="00126B2F">
        <w:rPr>
          <w:rFonts w:cs="Times New Roman"/>
          <w:sz w:val="24"/>
          <w:szCs w:val="24"/>
          <w:lang w:val="en-AU"/>
        </w:rPr>
        <w:t xml:space="preserve"> </w:t>
      </w:r>
      <w:r w:rsidR="00390B3B" w:rsidRPr="00126B2F">
        <w:rPr>
          <w:rFonts w:cs="Times New Roman"/>
          <w:sz w:val="24"/>
          <w:szCs w:val="24"/>
          <w:lang w:val="en-AU"/>
        </w:rPr>
        <w:t>1990 [1924])</w:t>
      </w:r>
      <w:r w:rsidRPr="00126B2F">
        <w:rPr>
          <w:rFonts w:cs="Times New Roman"/>
          <w:sz w:val="24"/>
          <w:szCs w:val="24"/>
        </w:rPr>
        <w:t xml:space="preserve">. Profits accrue to those who own the means of production </w:t>
      </w:r>
      <w:r w:rsidR="00C54FFC" w:rsidRPr="00126B2F">
        <w:rPr>
          <w:rFonts w:cs="Times New Roman"/>
          <w:sz w:val="24"/>
          <w:szCs w:val="24"/>
        </w:rPr>
        <w:t xml:space="preserve">as </w:t>
      </w:r>
      <w:r w:rsidRPr="00126B2F">
        <w:rPr>
          <w:rFonts w:cs="Times New Roman"/>
          <w:sz w:val="24"/>
          <w:szCs w:val="24"/>
        </w:rPr>
        <w:t xml:space="preserve">reward for risking capital. </w:t>
      </w:r>
      <w:r w:rsidR="00B53204" w:rsidRPr="00126B2F">
        <w:rPr>
          <w:rFonts w:cs="Times New Roman"/>
          <w:sz w:val="24"/>
          <w:szCs w:val="24"/>
        </w:rPr>
        <w:t>R</w:t>
      </w:r>
      <w:r w:rsidRPr="00126B2F">
        <w:rPr>
          <w:rFonts w:cs="Times New Roman"/>
          <w:sz w:val="24"/>
          <w:szCs w:val="24"/>
        </w:rPr>
        <w:t xml:space="preserve">ent </w:t>
      </w:r>
      <w:r w:rsidR="00E926DE" w:rsidRPr="00126B2F">
        <w:rPr>
          <w:rFonts w:cs="Times New Roman"/>
          <w:sz w:val="24"/>
          <w:szCs w:val="24"/>
        </w:rPr>
        <w:t>(Smith</w:t>
      </w:r>
      <w:r w:rsidR="00267413" w:rsidRPr="00126B2F">
        <w:rPr>
          <w:rFonts w:cs="Times New Roman"/>
          <w:sz w:val="24"/>
          <w:szCs w:val="24"/>
        </w:rPr>
        <w:t>,</w:t>
      </w:r>
      <w:r w:rsidR="00E926DE" w:rsidRPr="00126B2F">
        <w:rPr>
          <w:rFonts w:cs="Times New Roman"/>
          <w:sz w:val="24"/>
          <w:szCs w:val="24"/>
        </w:rPr>
        <w:t xml:space="preserve"> 1937</w:t>
      </w:r>
      <w:r w:rsidR="00BE4927" w:rsidRPr="00126B2F">
        <w:rPr>
          <w:rFonts w:cs="Times New Roman"/>
          <w:sz w:val="24"/>
          <w:szCs w:val="24"/>
        </w:rPr>
        <w:t xml:space="preserve"> </w:t>
      </w:r>
      <w:r w:rsidR="00E926DE" w:rsidRPr="00126B2F">
        <w:rPr>
          <w:rFonts w:cs="Times New Roman"/>
          <w:sz w:val="24"/>
          <w:szCs w:val="24"/>
        </w:rPr>
        <w:t>[1776])</w:t>
      </w:r>
      <w:r w:rsidR="00C54FFC" w:rsidRPr="00126B2F">
        <w:rPr>
          <w:rFonts w:cs="Times New Roman"/>
          <w:sz w:val="24"/>
          <w:szCs w:val="24"/>
        </w:rPr>
        <w:t xml:space="preserve">, in economic terms, is </w:t>
      </w:r>
      <w:r w:rsidRPr="00126B2F">
        <w:rPr>
          <w:rFonts w:cs="Times New Roman"/>
          <w:sz w:val="24"/>
          <w:szCs w:val="24"/>
        </w:rPr>
        <w:t xml:space="preserve">the extraction of </w:t>
      </w:r>
      <w:r w:rsidR="00BB09BF" w:rsidRPr="00126B2F">
        <w:rPr>
          <w:rFonts w:cs="Times New Roman"/>
          <w:sz w:val="24"/>
          <w:szCs w:val="24"/>
        </w:rPr>
        <w:t xml:space="preserve">financial </w:t>
      </w:r>
      <w:r w:rsidRPr="00126B2F">
        <w:rPr>
          <w:rFonts w:cs="Times New Roman"/>
          <w:sz w:val="24"/>
          <w:szCs w:val="24"/>
        </w:rPr>
        <w:t xml:space="preserve">value through ownership or control of an asset </w:t>
      </w:r>
      <w:r w:rsidR="00A20461" w:rsidRPr="00126B2F">
        <w:rPr>
          <w:rFonts w:cs="Times New Roman"/>
          <w:sz w:val="24"/>
          <w:szCs w:val="24"/>
        </w:rPr>
        <w:t>without simultaneously bringing any new wealth into existence</w:t>
      </w:r>
      <w:r w:rsidR="00906CA8" w:rsidRPr="00126B2F">
        <w:rPr>
          <w:rFonts w:cs="Times New Roman"/>
          <w:sz w:val="24"/>
          <w:szCs w:val="24"/>
        </w:rPr>
        <w:t xml:space="preserve">; rent </w:t>
      </w:r>
      <w:r w:rsidR="00817288" w:rsidRPr="00126B2F">
        <w:rPr>
          <w:rFonts w:cs="Times New Roman"/>
          <w:sz w:val="24"/>
          <w:szCs w:val="24"/>
        </w:rPr>
        <w:t xml:space="preserve">is </w:t>
      </w:r>
      <w:r w:rsidR="00906CA8" w:rsidRPr="00126B2F">
        <w:rPr>
          <w:rFonts w:cs="Times New Roman"/>
          <w:sz w:val="24"/>
          <w:szCs w:val="24"/>
        </w:rPr>
        <w:t>therefore di</w:t>
      </w:r>
      <w:r w:rsidR="00817288" w:rsidRPr="00126B2F">
        <w:rPr>
          <w:rFonts w:cs="Times New Roman"/>
          <w:sz w:val="24"/>
          <w:szCs w:val="24"/>
        </w:rPr>
        <w:t xml:space="preserve">fferentiated </w:t>
      </w:r>
      <w:r w:rsidR="00906CA8" w:rsidRPr="00126B2F">
        <w:rPr>
          <w:rFonts w:cs="Times New Roman"/>
          <w:sz w:val="24"/>
          <w:szCs w:val="24"/>
        </w:rPr>
        <w:t>from profit.</w:t>
      </w:r>
      <w:r w:rsidRPr="00126B2F">
        <w:rPr>
          <w:rFonts w:cs="Times New Roman"/>
          <w:sz w:val="24"/>
          <w:szCs w:val="24"/>
        </w:rPr>
        <w:t xml:space="preserve">  </w:t>
      </w:r>
      <w:r w:rsidRPr="00126B2F">
        <w:rPr>
          <w:rFonts w:cs="Times New Roman"/>
          <w:i/>
          <w:sz w:val="24"/>
          <w:szCs w:val="24"/>
        </w:rPr>
        <w:t>Rentiers</w:t>
      </w:r>
      <w:r w:rsidRPr="00126B2F">
        <w:rPr>
          <w:rFonts w:cs="Times New Roman"/>
          <w:sz w:val="24"/>
          <w:szCs w:val="24"/>
        </w:rPr>
        <w:t xml:space="preserve"> are actors purposively engaged in rent-seeking behaviour (Krueger</w:t>
      </w:r>
      <w:r w:rsidR="00267413" w:rsidRPr="00126B2F">
        <w:rPr>
          <w:rFonts w:cs="Times New Roman"/>
          <w:sz w:val="24"/>
          <w:szCs w:val="24"/>
        </w:rPr>
        <w:t>,</w:t>
      </w:r>
      <w:r w:rsidRPr="00126B2F">
        <w:rPr>
          <w:rFonts w:cs="Times New Roman"/>
          <w:sz w:val="24"/>
          <w:szCs w:val="24"/>
        </w:rPr>
        <w:t xml:space="preserve"> 1974). All remuneration is a share of total available organisational resources, which </w:t>
      </w:r>
      <w:r w:rsidR="00906CA8" w:rsidRPr="00126B2F">
        <w:rPr>
          <w:rFonts w:cs="Times New Roman"/>
          <w:sz w:val="24"/>
          <w:szCs w:val="24"/>
        </w:rPr>
        <w:t xml:space="preserve">are finite at </w:t>
      </w:r>
      <w:r w:rsidRPr="00126B2F">
        <w:rPr>
          <w:rFonts w:cs="Times New Roman"/>
          <w:sz w:val="24"/>
          <w:szCs w:val="24"/>
        </w:rPr>
        <w:t xml:space="preserve">any point in time. </w:t>
      </w:r>
    </w:p>
    <w:p w14:paraId="3C19DED3" w14:textId="77777777" w:rsidR="00D50306" w:rsidRPr="00126B2F" w:rsidRDefault="00D50306" w:rsidP="00F7771F">
      <w:pPr>
        <w:spacing w:after="0" w:line="360" w:lineRule="auto"/>
        <w:rPr>
          <w:rFonts w:cs="Times New Roman"/>
          <w:sz w:val="24"/>
          <w:szCs w:val="24"/>
        </w:rPr>
      </w:pPr>
    </w:p>
    <w:p w14:paraId="31AB9435" w14:textId="5B11AE21" w:rsidR="00D22205" w:rsidRPr="00126B2F" w:rsidRDefault="00D22205" w:rsidP="00F7771F">
      <w:pPr>
        <w:spacing w:after="0" w:line="360" w:lineRule="auto"/>
        <w:rPr>
          <w:rFonts w:cs="Times New Roman"/>
          <w:sz w:val="24"/>
          <w:szCs w:val="24"/>
        </w:rPr>
      </w:pPr>
      <w:r w:rsidRPr="00126B2F">
        <w:rPr>
          <w:rFonts w:cs="Times New Roman"/>
          <w:sz w:val="24"/>
          <w:szCs w:val="24"/>
        </w:rPr>
        <w:t>Governance</w:t>
      </w:r>
      <w:r w:rsidR="00D50306" w:rsidRPr="00126B2F">
        <w:rPr>
          <w:rFonts w:cs="Times New Roman"/>
          <w:sz w:val="24"/>
          <w:szCs w:val="24"/>
        </w:rPr>
        <w:t xml:space="preserve"> regimes</w:t>
      </w:r>
      <w:r w:rsidRPr="00126B2F">
        <w:rPr>
          <w:rFonts w:cs="Times New Roman"/>
          <w:sz w:val="24"/>
          <w:szCs w:val="24"/>
        </w:rPr>
        <w:t xml:space="preserve"> </w:t>
      </w:r>
      <w:r w:rsidR="00906CA8" w:rsidRPr="00126B2F">
        <w:rPr>
          <w:rFonts w:cs="Times New Roman"/>
          <w:sz w:val="24"/>
          <w:szCs w:val="24"/>
        </w:rPr>
        <w:t xml:space="preserve">determine </w:t>
      </w:r>
      <w:r w:rsidRPr="00126B2F">
        <w:rPr>
          <w:rFonts w:cs="Times New Roman"/>
          <w:sz w:val="24"/>
          <w:szCs w:val="24"/>
        </w:rPr>
        <w:t xml:space="preserve">remuneration </w:t>
      </w:r>
      <w:r w:rsidR="00A20461" w:rsidRPr="00126B2F">
        <w:rPr>
          <w:rFonts w:cs="Times New Roman"/>
          <w:sz w:val="24"/>
          <w:szCs w:val="24"/>
        </w:rPr>
        <w:t xml:space="preserve">forms </w:t>
      </w:r>
      <w:r w:rsidRPr="00126B2F">
        <w:rPr>
          <w:rFonts w:cs="Times New Roman"/>
          <w:sz w:val="24"/>
          <w:szCs w:val="24"/>
        </w:rPr>
        <w:t xml:space="preserve">and </w:t>
      </w:r>
      <w:r w:rsidR="00906CA8" w:rsidRPr="00126B2F">
        <w:rPr>
          <w:rFonts w:cs="Times New Roman"/>
          <w:sz w:val="24"/>
          <w:szCs w:val="24"/>
        </w:rPr>
        <w:t xml:space="preserve">their </w:t>
      </w:r>
      <w:r w:rsidRPr="00126B2F">
        <w:rPr>
          <w:rFonts w:cs="Times New Roman"/>
          <w:sz w:val="24"/>
          <w:szCs w:val="24"/>
        </w:rPr>
        <w:t>allocation between potentially competing groups</w:t>
      </w:r>
      <w:r w:rsidR="00D16AF3" w:rsidRPr="00126B2F">
        <w:rPr>
          <w:rFonts w:cs="Times New Roman"/>
          <w:sz w:val="24"/>
          <w:szCs w:val="24"/>
        </w:rPr>
        <w:t>, reflecting organisational power dynamics</w:t>
      </w:r>
      <w:r w:rsidR="00B32AC0" w:rsidRPr="00126B2F">
        <w:rPr>
          <w:rFonts w:cs="Times New Roman"/>
          <w:sz w:val="24"/>
          <w:szCs w:val="24"/>
        </w:rPr>
        <w:t xml:space="preserve"> </w:t>
      </w:r>
      <w:r w:rsidR="007F272C" w:rsidRPr="00126B2F">
        <w:rPr>
          <w:rFonts w:cs="Times New Roman"/>
          <w:sz w:val="24"/>
          <w:szCs w:val="24"/>
        </w:rPr>
        <w:t>(</w:t>
      </w:r>
      <w:proofErr w:type="spellStart"/>
      <w:r w:rsidR="007F272C" w:rsidRPr="00126B2F">
        <w:rPr>
          <w:rFonts w:cs="Times New Roman"/>
          <w:sz w:val="24"/>
          <w:szCs w:val="24"/>
        </w:rPr>
        <w:t>Neokleous</w:t>
      </w:r>
      <w:proofErr w:type="spellEnd"/>
      <w:r w:rsidR="00267413" w:rsidRPr="00126B2F">
        <w:rPr>
          <w:rFonts w:cs="Times New Roman"/>
          <w:sz w:val="24"/>
          <w:szCs w:val="24"/>
        </w:rPr>
        <w:t xml:space="preserve">, </w:t>
      </w:r>
      <w:r w:rsidR="007F272C" w:rsidRPr="00126B2F">
        <w:rPr>
          <w:rFonts w:cs="Times New Roman"/>
          <w:sz w:val="24"/>
          <w:szCs w:val="24"/>
        </w:rPr>
        <w:t>2015)</w:t>
      </w:r>
      <w:r w:rsidR="00D50306" w:rsidRPr="00126B2F">
        <w:rPr>
          <w:rFonts w:cs="Times New Roman"/>
          <w:sz w:val="24"/>
          <w:szCs w:val="24"/>
        </w:rPr>
        <w:t>. S</w:t>
      </w:r>
      <w:r w:rsidR="006473DA" w:rsidRPr="00126B2F">
        <w:rPr>
          <w:rFonts w:cs="Times New Roman"/>
          <w:sz w:val="24"/>
          <w:szCs w:val="24"/>
        </w:rPr>
        <w:t xml:space="preserve">alaries may play a part in motivating employees </w:t>
      </w:r>
      <w:r w:rsidRPr="00126B2F">
        <w:rPr>
          <w:rFonts w:cs="Times New Roman"/>
          <w:sz w:val="24"/>
          <w:szCs w:val="24"/>
        </w:rPr>
        <w:t>to</w:t>
      </w:r>
      <w:r w:rsidR="000C4BF8" w:rsidRPr="00126B2F">
        <w:rPr>
          <w:rFonts w:cs="Times New Roman"/>
          <w:sz w:val="24"/>
          <w:szCs w:val="24"/>
        </w:rPr>
        <w:t xml:space="preserve">wards </w:t>
      </w:r>
      <w:r w:rsidRPr="00126B2F">
        <w:rPr>
          <w:rFonts w:cs="Times New Roman"/>
          <w:sz w:val="24"/>
          <w:szCs w:val="24"/>
        </w:rPr>
        <w:t>organisational aims</w:t>
      </w:r>
      <w:r w:rsidR="006473DA" w:rsidRPr="00126B2F">
        <w:rPr>
          <w:rFonts w:cs="Times New Roman"/>
          <w:sz w:val="24"/>
          <w:szCs w:val="24"/>
        </w:rPr>
        <w:t>, although usage varies</w:t>
      </w:r>
      <w:r w:rsidRPr="00126B2F">
        <w:rPr>
          <w:rFonts w:cs="Times New Roman"/>
          <w:sz w:val="24"/>
          <w:szCs w:val="24"/>
        </w:rPr>
        <w:t xml:space="preserve"> </w:t>
      </w:r>
      <w:r w:rsidR="007F272C" w:rsidRPr="00126B2F">
        <w:rPr>
          <w:rFonts w:cs="Times New Roman"/>
          <w:sz w:val="24"/>
          <w:szCs w:val="24"/>
        </w:rPr>
        <w:t>(</w:t>
      </w:r>
      <w:proofErr w:type="spellStart"/>
      <w:r w:rsidR="007F272C" w:rsidRPr="00126B2F">
        <w:rPr>
          <w:rFonts w:cs="Times New Roman"/>
          <w:sz w:val="24"/>
          <w:szCs w:val="24"/>
        </w:rPr>
        <w:t>Tampu</w:t>
      </w:r>
      <w:proofErr w:type="spellEnd"/>
      <w:r w:rsidR="00267413" w:rsidRPr="00126B2F">
        <w:rPr>
          <w:rFonts w:cs="Times New Roman"/>
          <w:sz w:val="24"/>
          <w:szCs w:val="24"/>
        </w:rPr>
        <w:t>,</w:t>
      </w:r>
      <w:r w:rsidR="007F272C" w:rsidRPr="00126B2F">
        <w:rPr>
          <w:rFonts w:cs="Times New Roman"/>
          <w:sz w:val="24"/>
          <w:szCs w:val="24"/>
        </w:rPr>
        <w:t xml:space="preserve"> 2015)</w:t>
      </w:r>
      <w:r w:rsidR="00D16AF3" w:rsidRPr="00126B2F">
        <w:rPr>
          <w:rFonts w:cs="Times New Roman"/>
          <w:sz w:val="24"/>
          <w:szCs w:val="24"/>
        </w:rPr>
        <w:t xml:space="preserve">.  </w:t>
      </w:r>
      <w:r w:rsidR="002E6B2B" w:rsidRPr="00126B2F">
        <w:rPr>
          <w:rFonts w:cs="Times New Roman"/>
          <w:sz w:val="24"/>
          <w:szCs w:val="24"/>
        </w:rPr>
        <w:t>Contemporary s</w:t>
      </w:r>
      <w:r w:rsidRPr="00126B2F">
        <w:rPr>
          <w:rFonts w:cs="Times New Roman"/>
          <w:sz w:val="24"/>
          <w:szCs w:val="24"/>
        </w:rPr>
        <w:t xml:space="preserve">tewardship </w:t>
      </w:r>
      <w:r w:rsidR="00445993" w:rsidRPr="00126B2F">
        <w:rPr>
          <w:rFonts w:cs="Times New Roman"/>
          <w:sz w:val="24"/>
          <w:szCs w:val="24"/>
        </w:rPr>
        <w:t xml:space="preserve">theory </w:t>
      </w:r>
      <w:r w:rsidRPr="00126B2F">
        <w:rPr>
          <w:rFonts w:cs="Times New Roman"/>
          <w:sz w:val="24"/>
          <w:szCs w:val="24"/>
        </w:rPr>
        <w:t>posits that individual behaviour can be ‘ordered such that pro-organisational, collectivistic behavio</w:t>
      </w:r>
      <w:r w:rsidR="00BE4927" w:rsidRPr="00126B2F">
        <w:rPr>
          <w:rFonts w:cs="Times New Roman"/>
          <w:sz w:val="24"/>
          <w:szCs w:val="24"/>
        </w:rPr>
        <w:t>u</w:t>
      </w:r>
      <w:r w:rsidRPr="00126B2F">
        <w:rPr>
          <w:rFonts w:cs="Times New Roman"/>
          <w:sz w:val="24"/>
          <w:szCs w:val="24"/>
        </w:rPr>
        <w:t>rs have higher utility than individualistic, self-serving behavio</w:t>
      </w:r>
      <w:r w:rsidR="00BE4927" w:rsidRPr="00126B2F">
        <w:rPr>
          <w:rFonts w:cs="Times New Roman"/>
          <w:sz w:val="24"/>
          <w:szCs w:val="24"/>
        </w:rPr>
        <w:t>u</w:t>
      </w:r>
      <w:r w:rsidRPr="00126B2F">
        <w:rPr>
          <w:rFonts w:cs="Times New Roman"/>
          <w:sz w:val="24"/>
          <w:szCs w:val="24"/>
        </w:rPr>
        <w:t>rs’ and that ‘even where the interests of the steward and the principal are not aligned, the steward places higher value on co</w:t>
      </w:r>
      <w:r w:rsidR="00BE4927" w:rsidRPr="00126B2F">
        <w:rPr>
          <w:rFonts w:cs="Times New Roman"/>
          <w:sz w:val="24"/>
          <w:szCs w:val="24"/>
        </w:rPr>
        <w:t>-</w:t>
      </w:r>
      <w:r w:rsidRPr="00126B2F">
        <w:rPr>
          <w:rFonts w:cs="Times New Roman"/>
          <w:sz w:val="24"/>
          <w:szCs w:val="24"/>
        </w:rPr>
        <w:t>operation than defection’ (Davis</w:t>
      </w:r>
      <w:r w:rsidR="002E57CE" w:rsidRPr="00126B2F">
        <w:rPr>
          <w:rFonts w:cs="Times New Roman"/>
          <w:sz w:val="24"/>
          <w:szCs w:val="24"/>
        </w:rPr>
        <w:t xml:space="preserve">, </w:t>
      </w:r>
      <w:proofErr w:type="spellStart"/>
      <w:r w:rsidR="002E57CE" w:rsidRPr="00126B2F">
        <w:rPr>
          <w:rFonts w:cs="Times New Roman"/>
          <w:sz w:val="24"/>
          <w:szCs w:val="24"/>
        </w:rPr>
        <w:t>Schoorman</w:t>
      </w:r>
      <w:proofErr w:type="spellEnd"/>
      <w:r w:rsidR="002E57CE" w:rsidRPr="00126B2F">
        <w:rPr>
          <w:rFonts w:cs="Times New Roman"/>
          <w:sz w:val="24"/>
          <w:szCs w:val="24"/>
        </w:rPr>
        <w:t xml:space="preserve"> &amp;</w:t>
      </w:r>
      <w:r w:rsidR="00116091" w:rsidRPr="00126B2F">
        <w:rPr>
          <w:rFonts w:cs="Times New Roman"/>
          <w:sz w:val="24"/>
          <w:szCs w:val="24"/>
        </w:rPr>
        <w:t xml:space="preserve"> Donaldson</w:t>
      </w:r>
      <w:r w:rsidR="00267413" w:rsidRPr="00126B2F">
        <w:rPr>
          <w:rFonts w:cs="Times New Roman"/>
          <w:sz w:val="24"/>
          <w:szCs w:val="24"/>
        </w:rPr>
        <w:t>,</w:t>
      </w:r>
      <w:r w:rsidR="00116091" w:rsidRPr="00126B2F">
        <w:rPr>
          <w:rFonts w:cs="Times New Roman"/>
          <w:sz w:val="24"/>
          <w:szCs w:val="24"/>
        </w:rPr>
        <w:t xml:space="preserve"> 1997, p. </w:t>
      </w:r>
      <w:r w:rsidRPr="00126B2F">
        <w:rPr>
          <w:rFonts w:cs="Times New Roman"/>
          <w:sz w:val="24"/>
          <w:szCs w:val="24"/>
        </w:rPr>
        <w:t xml:space="preserve">24). This alignment </w:t>
      </w:r>
      <w:r w:rsidR="002E6B2B" w:rsidRPr="00126B2F">
        <w:rPr>
          <w:rFonts w:cs="Times New Roman"/>
          <w:sz w:val="24"/>
          <w:szCs w:val="24"/>
        </w:rPr>
        <w:t>mak</w:t>
      </w:r>
      <w:r w:rsidR="00E23F74" w:rsidRPr="00126B2F">
        <w:rPr>
          <w:rFonts w:cs="Times New Roman"/>
          <w:sz w:val="24"/>
          <w:szCs w:val="24"/>
        </w:rPr>
        <w:t>e</w:t>
      </w:r>
      <w:r w:rsidR="002E6B2B" w:rsidRPr="00126B2F">
        <w:rPr>
          <w:rFonts w:cs="Times New Roman"/>
          <w:sz w:val="24"/>
          <w:szCs w:val="24"/>
        </w:rPr>
        <w:t>s</w:t>
      </w:r>
      <w:r w:rsidRPr="00126B2F">
        <w:rPr>
          <w:rFonts w:cs="Times New Roman"/>
          <w:sz w:val="24"/>
          <w:szCs w:val="24"/>
        </w:rPr>
        <w:t xml:space="preserve"> it rational and efficient to trust the steward and extend them significant autonomy</w:t>
      </w:r>
      <w:r w:rsidR="00906CA8" w:rsidRPr="00126B2F">
        <w:rPr>
          <w:rFonts w:cs="Times New Roman"/>
          <w:sz w:val="24"/>
          <w:szCs w:val="24"/>
        </w:rPr>
        <w:t xml:space="preserve">, </w:t>
      </w:r>
      <w:r w:rsidR="00D92D50" w:rsidRPr="00126B2F">
        <w:rPr>
          <w:rFonts w:cs="Times New Roman"/>
          <w:sz w:val="24"/>
          <w:szCs w:val="24"/>
        </w:rPr>
        <w:t xml:space="preserve">with </w:t>
      </w:r>
      <w:r w:rsidR="00EC64C3" w:rsidRPr="00126B2F">
        <w:rPr>
          <w:rFonts w:cs="Times New Roman"/>
          <w:sz w:val="24"/>
          <w:szCs w:val="24"/>
        </w:rPr>
        <w:t>r</w:t>
      </w:r>
      <w:r w:rsidRPr="00126B2F">
        <w:rPr>
          <w:rFonts w:cs="Times New Roman"/>
          <w:sz w:val="24"/>
          <w:szCs w:val="24"/>
        </w:rPr>
        <w:t xml:space="preserve">emuneration </w:t>
      </w:r>
      <w:r w:rsidR="00906CA8" w:rsidRPr="00126B2F">
        <w:rPr>
          <w:rFonts w:cs="Times New Roman"/>
          <w:sz w:val="24"/>
          <w:szCs w:val="24"/>
        </w:rPr>
        <w:t xml:space="preserve">playing </w:t>
      </w:r>
      <w:r w:rsidRPr="00126B2F">
        <w:rPr>
          <w:rFonts w:cs="Times New Roman"/>
          <w:sz w:val="24"/>
          <w:szCs w:val="24"/>
        </w:rPr>
        <w:t xml:space="preserve">a </w:t>
      </w:r>
      <w:r w:rsidR="00906CA8" w:rsidRPr="00126B2F">
        <w:rPr>
          <w:rFonts w:cs="Times New Roman"/>
          <w:sz w:val="24"/>
          <w:szCs w:val="24"/>
        </w:rPr>
        <w:t xml:space="preserve">less </w:t>
      </w:r>
      <w:r w:rsidRPr="00126B2F">
        <w:rPr>
          <w:rFonts w:cs="Times New Roman"/>
          <w:sz w:val="24"/>
          <w:szCs w:val="24"/>
        </w:rPr>
        <w:t>prominent role in motivating</w:t>
      </w:r>
      <w:r w:rsidR="00906CA8" w:rsidRPr="00126B2F">
        <w:rPr>
          <w:rFonts w:cs="Times New Roman"/>
          <w:sz w:val="24"/>
          <w:szCs w:val="24"/>
        </w:rPr>
        <w:t xml:space="preserve"> them</w:t>
      </w:r>
      <w:r w:rsidRPr="00126B2F">
        <w:rPr>
          <w:rFonts w:cs="Times New Roman"/>
          <w:sz w:val="24"/>
          <w:szCs w:val="24"/>
        </w:rPr>
        <w:t>.</w:t>
      </w:r>
      <w:r w:rsidR="00635FD5" w:rsidRPr="00126B2F">
        <w:rPr>
          <w:rFonts w:cs="Times New Roman"/>
          <w:sz w:val="24"/>
          <w:szCs w:val="24"/>
        </w:rPr>
        <w:t xml:space="preserve"> </w:t>
      </w:r>
    </w:p>
    <w:p w14:paraId="1E6187E7" w14:textId="77777777" w:rsidR="00D22205" w:rsidRPr="00126B2F" w:rsidRDefault="00D22205" w:rsidP="00F7771F">
      <w:pPr>
        <w:spacing w:after="0" w:line="360" w:lineRule="auto"/>
        <w:rPr>
          <w:rFonts w:cs="Times New Roman"/>
          <w:sz w:val="24"/>
          <w:szCs w:val="24"/>
        </w:rPr>
      </w:pPr>
    </w:p>
    <w:p w14:paraId="1EA769CF" w14:textId="0469A17C" w:rsidR="00D22205" w:rsidRPr="00126B2F" w:rsidRDefault="002848FD" w:rsidP="00F7771F">
      <w:pPr>
        <w:spacing w:after="0" w:line="360" w:lineRule="auto"/>
        <w:rPr>
          <w:rFonts w:cs="Times New Roman"/>
          <w:sz w:val="24"/>
          <w:szCs w:val="24"/>
        </w:rPr>
      </w:pPr>
      <w:r w:rsidRPr="00126B2F">
        <w:rPr>
          <w:rFonts w:cs="Times New Roman"/>
          <w:sz w:val="24"/>
          <w:szCs w:val="24"/>
        </w:rPr>
        <w:lastRenderedPageBreak/>
        <w:t>Stewardship was the dominant governance form until the 20</w:t>
      </w:r>
      <w:r w:rsidRPr="00126B2F">
        <w:rPr>
          <w:rFonts w:cs="Times New Roman"/>
          <w:sz w:val="24"/>
          <w:szCs w:val="24"/>
          <w:vertAlign w:val="superscript"/>
        </w:rPr>
        <w:t>th</w:t>
      </w:r>
      <w:r w:rsidRPr="00126B2F">
        <w:rPr>
          <w:rFonts w:cs="Times New Roman"/>
          <w:sz w:val="24"/>
          <w:szCs w:val="24"/>
        </w:rPr>
        <w:t xml:space="preserve"> century</w:t>
      </w:r>
      <w:r w:rsidR="00D123AA">
        <w:rPr>
          <w:rFonts w:cs="Times New Roman"/>
          <w:sz w:val="24"/>
          <w:szCs w:val="24"/>
        </w:rPr>
        <w:t xml:space="preserve"> </w:t>
      </w:r>
      <w:r w:rsidR="009C4A73">
        <w:rPr>
          <w:rFonts w:cs="Times New Roman"/>
          <w:sz w:val="24"/>
          <w:szCs w:val="24"/>
        </w:rPr>
        <w:t>(Donaldson &amp; Davis, 1991</w:t>
      </w:r>
      <w:r w:rsidR="00097BB1">
        <w:rPr>
          <w:rFonts w:cs="Times New Roman"/>
          <w:sz w:val="24"/>
          <w:szCs w:val="24"/>
        </w:rPr>
        <w:t>, p. 22</w:t>
      </w:r>
      <w:r w:rsidR="009C4A73">
        <w:rPr>
          <w:rFonts w:cs="Times New Roman"/>
          <w:sz w:val="24"/>
          <w:szCs w:val="24"/>
        </w:rPr>
        <w:t>)</w:t>
      </w:r>
      <w:r w:rsidRPr="00126B2F">
        <w:rPr>
          <w:rFonts w:cs="Times New Roman"/>
          <w:sz w:val="24"/>
          <w:szCs w:val="24"/>
        </w:rPr>
        <w:t xml:space="preserve">. </w:t>
      </w:r>
      <w:r w:rsidR="009501F5" w:rsidRPr="00126B2F">
        <w:rPr>
          <w:rFonts w:cs="Times New Roman"/>
          <w:sz w:val="24"/>
          <w:szCs w:val="24"/>
        </w:rPr>
        <w:t xml:space="preserve">However, </w:t>
      </w:r>
      <w:r w:rsidRPr="00126B2F">
        <w:rPr>
          <w:rFonts w:cs="Times New Roman"/>
          <w:sz w:val="24"/>
          <w:szCs w:val="24"/>
        </w:rPr>
        <w:t>i</w:t>
      </w:r>
      <w:r w:rsidR="00D22205" w:rsidRPr="00126B2F">
        <w:rPr>
          <w:rFonts w:cs="Times New Roman"/>
          <w:sz w:val="24"/>
          <w:szCs w:val="24"/>
        </w:rPr>
        <w:t>n the early 20</w:t>
      </w:r>
      <w:r w:rsidR="00D22205" w:rsidRPr="00126B2F">
        <w:rPr>
          <w:rFonts w:cs="Times New Roman"/>
          <w:sz w:val="24"/>
          <w:szCs w:val="24"/>
          <w:vertAlign w:val="superscript"/>
        </w:rPr>
        <w:t>th</w:t>
      </w:r>
      <w:r w:rsidR="00D22205" w:rsidRPr="00126B2F">
        <w:rPr>
          <w:rFonts w:cs="Times New Roman"/>
          <w:sz w:val="24"/>
          <w:szCs w:val="24"/>
        </w:rPr>
        <w:t xml:space="preserve"> century </w:t>
      </w:r>
      <w:r w:rsidR="00B1097F" w:rsidRPr="00126B2F">
        <w:rPr>
          <w:rFonts w:cs="Times New Roman"/>
          <w:sz w:val="24"/>
          <w:szCs w:val="24"/>
        </w:rPr>
        <w:t>companies</w:t>
      </w:r>
      <w:r w:rsidR="00D22205" w:rsidRPr="00126B2F">
        <w:rPr>
          <w:rFonts w:cs="Times New Roman"/>
          <w:sz w:val="24"/>
          <w:szCs w:val="24"/>
        </w:rPr>
        <w:t xml:space="preserve"> </w:t>
      </w:r>
      <w:r w:rsidR="00362BAF" w:rsidRPr="00126B2F">
        <w:rPr>
          <w:rFonts w:cs="Times New Roman"/>
          <w:sz w:val="24"/>
          <w:szCs w:val="24"/>
        </w:rPr>
        <w:t>began</w:t>
      </w:r>
      <w:r w:rsidR="00D22205" w:rsidRPr="00126B2F">
        <w:rPr>
          <w:rFonts w:cs="Times New Roman"/>
          <w:sz w:val="24"/>
          <w:szCs w:val="24"/>
        </w:rPr>
        <w:t xml:space="preserve"> </w:t>
      </w:r>
      <w:r w:rsidR="00075ABA" w:rsidRPr="00126B2F">
        <w:rPr>
          <w:rFonts w:cs="Times New Roman"/>
          <w:sz w:val="24"/>
          <w:szCs w:val="24"/>
        </w:rPr>
        <w:t>raising</w:t>
      </w:r>
      <w:r w:rsidR="00162F2E" w:rsidRPr="00126B2F">
        <w:rPr>
          <w:rFonts w:cs="Times New Roman"/>
          <w:sz w:val="24"/>
          <w:szCs w:val="24"/>
        </w:rPr>
        <w:t xml:space="preserve"> capital by selling shares</w:t>
      </w:r>
      <w:r w:rsidR="00F6044A" w:rsidRPr="00126B2F">
        <w:rPr>
          <w:rFonts w:cs="Times New Roman"/>
          <w:sz w:val="24"/>
          <w:szCs w:val="24"/>
        </w:rPr>
        <w:t xml:space="preserve">, </w:t>
      </w:r>
      <w:r w:rsidR="00D92D50" w:rsidRPr="00126B2F">
        <w:rPr>
          <w:rFonts w:cs="Times New Roman"/>
          <w:sz w:val="24"/>
          <w:szCs w:val="24"/>
        </w:rPr>
        <w:t>d</w:t>
      </w:r>
      <w:r w:rsidR="00F6044A" w:rsidRPr="00126B2F">
        <w:rPr>
          <w:rFonts w:cs="Times New Roman"/>
          <w:sz w:val="24"/>
          <w:szCs w:val="24"/>
        </w:rPr>
        <w:t>istributing</w:t>
      </w:r>
      <w:r w:rsidR="00162F2E" w:rsidRPr="00126B2F">
        <w:rPr>
          <w:rFonts w:cs="Times New Roman"/>
          <w:sz w:val="24"/>
          <w:szCs w:val="24"/>
        </w:rPr>
        <w:t xml:space="preserve"> ownership rights more widely</w:t>
      </w:r>
      <w:r w:rsidR="00F6044A" w:rsidRPr="00126B2F">
        <w:rPr>
          <w:rFonts w:cs="Times New Roman"/>
          <w:sz w:val="24"/>
          <w:szCs w:val="24"/>
        </w:rPr>
        <w:t xml:space="preserve"> and </w:t>
      </w:r>
      <w:r w:rsidR="00D92D50" w:rsidRPr="00126B2F">
        <w:rPr>
          <w:rFonts w:cs="Times New Roman"/>
          <w:sz w:val="24"/>
          <w:szCs w:val="24"/>
        </w:rPr>
        <w:t xml:space="preserve">separating </w:t>
      </w:r>
      <w:r w:rsidR="003C09E0" w:rsidRPr="00126B2F">
        <w:rPr>
          <w:rFonts w:cs="Times New Roman"/>
          <w:sz w:val="24"/>
          <w:szCs w:val="24"/>
        </w:rPr>
        <w:t xml:space="preserve">shareholder </w:t>
      </w:r>
      <w:r w:rsidR="00162F2E" w:rsidRPr="00126B2F">
        <w:rPr>
          <w:rFonts w:cs="Times New Roman"/>
          <w:sz w:val="24"/>
          <w:szCs w:val="24"/>
        </w:rPr>
        <w:t>o</w:t>
      </w:r>
      <w:r w:rsidR="00BE4927" w:rsidRPr="00126B2F">
        <w:rPr>
          <w:rFonts w:cs="Times New Roman"/>
          <w:sz w:val="24"/>
          <w:szCs w:val="24"/>
        </w:rPr>
        <w:t xml:space="preserve">wnership </w:t>
      </w:r>
      <w:r w:rsidR="00D22205" w:rsidRPr="00126B2F">
        <w:rPr>
          <w:rFonts w:cs="Times New Roman"/>
          <w:sz w:val="24"/>
          <w:szCs w:val="24"/>
        </w:rPr>
        <w:t>from control</w:t>
      </w:r>
      <w:r w:rsidR="003C09E0" w:rsidRPr="00126B2F">
        <w:rPr>
          <w:rFonts w:cs="Times New Roman"/>
          <w:sz w:val="24"/>
          <w:szCs w:val="24"/>
        </w:rPr>
        <w:t xml:space="preserve"> by professional managers</w:t>
      </w:r>
      <w:r w:rsidR="00AB4C43" w:rsidRPr="00126B2F">
        <w:rPr>
          <w:rFonts w:cs="Times New Roman"/>
          <w:sz w:val="24"/>
          <w:szCs w:val="24"/>
        </w:rPr>
        <w:t xml:space="preserve"> </w:t>
      </w:r>
      <w:r w:rsidR="00F33B7D" w:rsidRPr="00126B2F">
        <w:rPr>
          <w:rFonts w:cs="Times New Roman"/>
          <w:sz w:val="24"/>
          <w:szCs w:val="24"/>
        </w:rPr>
        <w:t>(</w:t>
      </w:r>
      <w:proofErr w:type="spellStart"/>
      <w:r w:rsidR="00F33B7D" w:rsidRPr="00126B2F">
        <w:rPr>
          <w:rFonts w:cs="Times New Roman"/>
          <w:sz w:val="24"/>
          <w:szCs w:val="24"/>
        </w:rPr>
        <w:t>Berle</w:t>
      </w:r>
      <w:proofErr w:type="spellEnd"/>
      <w:r w:rsidR="00F33B7D" w:rsidRPr="00126B2F">
        <w:rPr>
          <w:rFonts w:cs="Times New Roman"/>
          <w:sz w:val="24"/>
          <w:szCs w:val="24"/>
        </w:rPr>
        <w:t xml:space="preserve"> &amp; Means</w:t>
      </w:r>
      <w:r w:rsidR="00267413" w:rsidRPr="00126B2F">
        <w:rPr>
          <w:rFonts w:cs="Times New Roman"/>
          <w:sz w:val="24"/>
          <w:szCs w:val="24"/>
        </w:rPr>
        <w:t>,</w:t>
      </w:r>
      <w:r w:rsidR="00F33B7D" w:rsidRPr="00126B2F">
        <w:rPr>
          <w:rFonts w:cs="Times New Roman"/>
          <w:sz w:val="24"/>
          <w:szCs w:val="24"/>
        </w:rPr>
        <w:t xml:space="preserve"> 1968 [1932])</w:t>
      </w:r>
      <w:r w:rsidR="00D22205" w:rsidRPr="00126B2F">
        <w:rPr>
          <w:rFonts w:cs="Times New Roman"/>
          <w:sz w:val="24"/>
          <w:szCs w:val="24"/>
        </w:rPr>
        <w:t xml:space="preserve">. </w:t>
      </w:r>
      <w:r w:rsidR="00B1097F" w:rsidRPr="00126B2F">
        <w:rPr>
          <w:rFonts w:cs="Times New Roman"/>
          <w:sz w:val="24"/>
          <w:szCs w:val="24"/>
        </w:rPr>
        <w:t>T</w:t>
      </w:r>
      <w:r w:rsidR="00F33B7D" w:rsidRPr="00126B2F">
        <w:rPr>
          <w:rFonts w:cs="Times New Roman"/>
          <w:sz w:val="24"/>
          <w:szCs w:val="24"/>
        </w:rPr>
        <w:t>h</w:t>
      </w:r>
      <w:r w:rsidR="00D92D50" w:rsidRPr="00126B2F">
        <w:rPr>
          <w:rFonts w:cs="Times New Roman"/>
          <w:sz w:val="24"/>
          <w:szCs w:val="24"/>
        </w:rPr>
        <w:t xml:space="preserve">is </w:t>
      </w:r>
      <w:r w:rsidR="00E23F74" w:rsidRPr="00126B2F">
        <w:rPr>
          <w:rFonts w:cs="Times New Roman"/>
          <w:sz w:val="24"/>
          <w:szCs w:val="24"/>
        </w:rPr>
        <w:t>c</w:t>
      </w:r>
      <w:r w:rsidR="00D92D50" w:rsidRPr="00126B2F">
        <w:rPr>
          <w:rFonts w:cs="Times New Roman"/>
          <w:sz w:val="24"/>
          <w:szCs w:val="24"/>
        </w:rPr>
        <w:t>ause</w:t>
      </w:r>
      <w:r w:rsidR="00D123AA">
        <w:rPr>
          <w:rFonts w:cs="Times New Roman"/>
          <w:sz w:val="24"/>
          <w:szCs w:val="24"/>
        </w:rPr>
        <w:t>d</w:t>
      </w:r>
      <w:r w:rsidR="00D22205" w:rsidRPr="00126B2F">
        <w:rPr>
          <w:rFonts w:cs="Times New Roman"/>
          <w:sz w:val="24"/>
          <w:szCs w:val="24"/>
        </w:rPr>
        <w:t xml:space="preserve"> information asymmetries and shift</w:t>
      </w:r>
      <w:r w:rsidR="00D123AA">
        <w:rPr>
          <w:rFonts w:cs="Times New Roman"/>
          <w:sz w:val="24"/>
          <w:szCs w:val="24"/>
        </w:rPr>
        <w:t>ed</w:t>
      </w:r>
      <w:r w:rsidR="00D22205" w:rsidRPr="00126B2F">
        <w:rPr>
          <w:rFonts w:cs="Times New Roman"/>
          <w:sz w:val="24"/>
          <w:szCs w:val="24"/>
        </w:rPr>
        <w:t xml:space="preserve"> </w:t>
      </w:r>
      <w:r w:rsidR="009E51D7" w:rsidRPr="00126B2F">
        <w:rPr>
          <w:rFonts w:cs="Times New Roman"/>
          <w:sz w:val="24"/>
          <w:szCs w:val="24"/>
        </w:rPr>
        <w:t>t</w:t>
      </w:r>
      <w:r w:rsidR="00D22205" w:rsidRPr="00126B2F">
        <w:rPr>
          <w:rFonts w:cs="Times New Roman"/>
          <w:sz w:val="24"/>
          <w:szCs w:val="24"/>
        </w:rPr>
        <w:t>he balance of power in managers’ favour</w:t>
      </w:r>
      <w:r w:rsidR="00F33B7D" w:rsidRPr="00126B2F">
        <w:rPr>
          <w:rFonts w:cs="Times New Roman"/>
          <w:sz w:val="24"/>
          <w:szCs w:val="24"/>
        </w:rPr>
        <w:t xml:space="preserve"> </w:t>
      </w:r>
      <w:r w:rsidR="00A20E45" w:rsidRPr="00126B2F">
        <w:rPr>
          <w:rFonts w:cs="Times New Roman"/>
          <w:sz w:val="24"/>
          <w:szCs w:val="24"/>
        </w:rPr>
        <w:t>(</w:t>
      </w:r>
      <w:proofErr w:type="spellStart"/>
      <w:r w:rsidR="00A20E45" w:rsidRPr="00126B2F">
        <w:rPr>
          <w:rFonts w:cs="Times New Roman"/>
          <w:sz w:val="24"/>
          <w:szCs w:val="24"/>
        </w:rPr>
        <w:t>Balago</w:t>
      </w:r>
      <w:proofErr w:type="spellEnd"/>
      <w:r w:rsidR="00267413" w:rsidRPr="00126B2F">
        <w:rPr>
          <w:rFonts w:cs="Times New Roman"/>
          <w:sz w:val="24"/>
          <w:szCs w:val="24"/>
        </w:rPr>
        <w:t>,</w:t>
      </w:r>
      <w:r w:rsidR="00A20E45" w:rsidRPr="00126B2F">
        <w:rPr>
          <w:rFonts w:cs="Times New Roman"/>
          <w:sz w:val="24"/>
          <w:szCs w:val="24"/>
        </w:rPr>
        <w:t xml:space="preserve"> 2014)</w:t>
      </w:r>
      <w:r w:rsidR="00C24B70" w:rsidRPr="00126B2F">
        <w:rPr>
          <w:rFonts w:cs="Times New Roman"/>
          <w:sz w:val="24"/>
          <w:szCs w:val="24"/>
        </w:rPr>
        <w:t xml:space="preserve">; managers could no longer be implicitly </w:t>
      </w:r>
      <w:r w:rsidR="00221A62" w:rsidRPr="00126B2F">
        <w:rPr>
          <w:rFonts w:cs="Times New Roman"/>
          <w:sz w:val="24"/>
          <w:szCs w:val="24"/>
        </w:rPr>
        <w:t xml:space="preserve">trusted. </w:t>
      </w:r>
      <w:r w:rsidR="003C09E0" w:rsidRPr="00126B2F">
        <w:rPr>
          <w:rFonts w:cs="Times New Roman"/>
          <w:sz w:val="24"/>
          <w:szCs w:val="24"/>
        </w:rPr>
        <w:t>The resulting re</w:t>
      </w:r>
      <w:r w:rsidR="00C54FFC" w:rsidRPr="00126B2F">
        <w:rPr>
          <w:rFonts w:cs="Times New Roman"/>
          <w:sz w:val="24"/>
          <w:szCs w:val="24"/>
        </w:rPr>
        <w:t xml:space="preserve">thinking </w:t>
      </w:r>
      <w:r w:rsidR="003C09E0" w:rsidRPr="00126B2F">
        <w:rPr>
          <w:rFonts w:cs="Times New Roman"/>
          <w:sz w:val="24"/>
          <w:szCs w:val="24"/>
        </w:rPr>
        <w:t>of</w:t>
      </w:r>
      <w:r w:rsidRPr="00126B2F">
        <w:rPr>
          <w:rFonts w:cs="Times New Roman"/>
          <w:sz w:val="24"/>
          <w:szCs w:val="24"/>
        </w:rPr>
        <w:t xml:space="preserve"> </w:t>
      </w:r>
      <w:r w:rsidR="003C09E0" w:rsidRPr="00126B2F">
        <w:rPr>
          <w:rFonts w:cs="Times New Roman"/>
          <w:sz w:val="24"/>
          <w:szCs w:val="24"/>
        </w:rPr>
        <w:t xml:space="preserve">governance led to </w:t>
      </w:r>
      <w:r w:rsidR="00D92D50" w:rsidRPr="00126B2F">
        <w:rPr>
          <w:rFonts w:cs="Times New Roman"/>
          <w:sz w:val="24"/>
          <w:szCs w:val="24"/>
        </w:rPr>
        <w:t xml:space="preserve">the </w:t>
      </w:r>
      <w:r w:rsidR="003C0DE5" w:rsidRPr="00126B2F">
        <w:rPr>
          <w:rFonts w:cs="Times New Roman"/>
          <w:sz w:val="24"/>
          <w:szCs w:val="24"/>
        </w:rPr>
        <w:t xml:space="preserve">popularisation of </w:t>
      </w:r>
      <w:r w:rsidR="00C24B70" w:rsidRPr="00126B2F">
        <w:rPr>
          <w:rFonts w:cs="Times New Roman"/>
          <w:sz w:val="24"/>
          <w:szCs w:val="24"/>
        </w:rPr>
        <w:t xml:space="preserve">contract and </w:t>
      </w:r>
      <w:r w:rsidR="00221A62" w:rsidRPr="00126B2F">
        <w:rPr>
          <w:rFonts w:cs="Times New Roman"/>
          <w:sz w:val="24"/>
          <w:szCs w:val="24"/>
        </w:rPr>
        <w:t xml:space="preserve">market-based </w:t>
      </w:r>
      <w:r w:rsidR="003C09E0" w:rsidRPr="00126B2F">
        <w:rPr>
          <w:rFonts w:cs="Times New Roman"/>
          <w:sz w:val="24"/>
          <w:szCs w:val="24"/>
        </w:rPr>
        <w:t>agency theor</w:t>
      </w:r>
      <w:r w:rsidR="00245405" w:rsidRPr="00126B2F">
        <w:rPr>
          <w:rFonts w:cs="Times New Roman"/>
          <w:sz w:val="24"/>
          <w:szCs w:val="24"/>
        </w:rPr>
        <w:t xml:space="preserve">ies </w:t>
      </w:r>
      <w:r w:rsidR="003C09E0" w:rsidRPr="00126B2F">
        <w:rPr>
          <w:rFonts w:cs="Times New Roman"/>
          <w:sz w:val="24"/>
          <w:szCs w:val="24"/>
        </w:rPr>
        <w:t>(</w:t>
      </w:r>
      <w:r w:rsidR="00D22205" w:rsidRPr="00126B2F">
        <w:rPr>
          <w:rFonts w:cs="Times New Roman"/>
          <w:sz w:val="24"/>
          <w:szCs w:val="24"/>
        </w:rPr>
        <w:t xml:space="preserve">Jensen and </w:t>
      </w:r>
      <w:proofErr w:type="spellStart"/>
      <w:r w:rsidR="00D22205" w:rsidRPr="00126B2F">
        <w:rPr>
          <w:rFonts w:cs="Times New Roman"/>
          <w:sz w:val="24"/>
          <w:szCs w:val="24"/>
        </w:rPr>
        <w:t>Meckling</w:t>
      </w:r>
      <w:proofErr w:type="spellEnd"/>
      <w:r w:rsidR="003C09E0" w:rsidRPr="00126B2F">
        <w:rPr>
          <w:rFonts w:cs="Times New Roman"/>
          <w:sz w:val="24"/>
          <w:szCs w:val="24"/>
        </w:rPr>
        <w:t xml:space="preserve">, </w:t>
      </w:r>
      <w:r w:rsidR="00D22205" w:rsidRPr="00126B2F">
        <w:rPr>
          <w:rFonts w:cs="Times New Roman"/>
          <w:sz w:val="24"/>
          <w:szCs w:val="24"/>
        </w:rPr>
        <w:t xml:space="preserve">1976). </w:t>
      </w:r>
    </w:p>
    <w:p w14:paraId="63E3EF44" w14:textId="3A5EECD4" w:rsidR="00A9442F" w:rsidRPr="00126B2F" w:rsidRDefault="00A9442F" w:rsidP="00F7771F">
      <w:pPr>
        <w:spacing w:after="0" w:line="360" w:lineRule="auto"/>
        <w:rPr>
          <w:rFonts w:cs="Times New Roman"/>
          <w:sz w:val="24"/>
          <w:szCs w:val="24"/>
        </w:rPr>
      </w:pPr>
    </w:p>
    <w:p w14:paraId="046A40B8" w14:textId="759D6B95" w:rsidR="00221A62" w:rsidRPr="00126B2F" w:rsidRDefault="00AB4C43" w:rsidP="00F7771F">
      <w:pPr>
        <w:spacing w:after="0" w:line="360" w:lineRule="auto"/>
        <w:rPr>
          <w:rFonts w:cs="Times New Roman"/>
          <w:sz w:val="24"/>
          <w:szCs w:val="24"/>
        </w:rPr>
      </w:pPr>
      <w:r w:rsidRPr="00126B2F">
        <w:rPr>
          <w:rFonts w:cs="Times New Roman"/>
          <w:sz w:val="24"/>
          <w:szCs w:val="24"/>
        </w:rPr>
        <w:t>A</w:t>
      </w:r>
      <w:r w:rsidR="00D22205" w:rsidRPr="00126B2F">
        <w:rPr>
          <w:rFonts w:cs="Times New Roman"/>
          <w:sz w:val="24"/>
          <w:szCs w:val="24"/>
        </w:rPr>
        <w:t>gency</w:t>
      </w:r>
      <w:r w:rsidR="00B1097F" w:rsidRPr="00126B2F">
        <w:rPr>
          <w:rFonts w:cs="Times New Roman"/>
          <w:sz w:val="24"/>
          <w:szCs w:val="24"/>
        </w:rPr>
        <w:t xml:space="preserve"> theory </w:t>
      </w:r>
      <w:r w:rsidR="00D22205" w:rsidRPr="00126B2F">
        <w:rPr>
          <w:rFonts w:cs="Times New Roman"/>
          <w:sz w:val="24"/>
          <w:szCs w:val="24"/>
        </w:rPr>
        <w:t>casts owners as principals and managers as their agents</w:t>
      </w:r>
      <w:r w:rsidR="00F6044A" w:rsidRPr="00126B2F">
        <w:rPr>
          <w:rFonts w:cs="Times New Roman"/>
          <w:sz w:val="24"/>
          <w:szCs w:val="24"/>
        </w:rPr>
        <w:t xml:space="preserve">, with </w:t>
      </w:r>
      <w:r w:rsidR="00B1097F" w:rsidRPr="00126B2F">
        <w:rPr>
          <w:rFonts w:cs="Times New Roman"/>
          <w:sz w:val="24"/>
          <w:szCs w:val="24"/>
        </w:rPr>
        <w:t xml:space="preserve">both </w:t>
      </w:r>
      <w:r w:rsidR="00D22205" w:rsidRPr="00126B2F">
        <w:rPr>
          <w:rFonts w:cs="Times New Roman"/>
          <w:sz w:val="24"/>
          <w:szCs w:val="24"/>
        </w:rPr>
        <w:t>seek</w:t>
      </w:r>
      <w:r w:rsidR="00F6044A" w:rsidRPr="00126B2F">
        <w:rPr>
          <w:rFonts w:cs="Times New Roman"/>
          <w:sz w:val="24"/>
          <w:szCs w:val="24"/>
        </w:rPr>
        <w:t>ing</w:t>
      </w:r>
      <w:r w:rsidR="00D22205" w:rsidRPr="00126B2F">
        <w:rPr>
          <w:rFonts w:cs="Times New Roman"/>
          <w:sz w:val="24"/>
          <w:szCs w:val="24"/>
        </w:rPr>
        <w:t xml:space="preserve"> t</w:t>
      </w:r>
      <w:r w:rsidR="00362BAF" w:rsidRPr="00126B2F">
        <w:rPr>
          <w:rFonts w:cs="Times New Roman"/>
          <w:sz w:val="24"/>
          <w:szCs w:val="24"/>
        </w:rPr>
        <w:t xml:space="preserve">o maximise their own </w:t>
      </w:r>
      <w:r w:rsidR="00D92D50" w:rsidRPr="00126B2F">
        <w:rPr>
          <w:rFonts w:cs="Times New Roman"/>
          <w:sz w:val="24"/>
          <w:szCs w:val="24"/>
        </w:rPr>
        <w:t>f</w:t>
      </w:r>
      <w:r w:rsidR="00D22205" w:rsidRPr="00126B2F">
        <w:rPr>
          <w:rFonts w:cs="Times New Roman"/>
          <w:sz w:val="24"/>
          <w:szCs w:val="24"/>
        </w:rPr>
        <w:t>inancial position at the expense of the other</w:t>
      </w:r>
      <w:r w:rsidR="00293E55" w:rsidRPr="00126B2F">
        <w:rPr>
          <w:rFonts w:cs="Times New Roman"/>
          <w:sz w:val="24"/>
          <w:szCs w:val="24"/>
        </w:rPr>
        <w:t xml:space="preserve"> (Ross</w:t>
      </w:r>
      <w:r w:rsidR="0085299D" w:rsidRPr="00126B2F">
        <w:rPr>
          <w:rFonts w:cs="Times New Roman"/>
          <w:sz w:val="24"/>
          <w:szCs w:val="24"/>
        </w:rPr>
        <w:t>,</w:t>
      </w:r>
      <w:r w:rsidR="00293E55" w:rsidRPr="00126B2F">
        <w:rPr>
          <w:rFonts w:cs="Times New Roman"/>
          <w:sz w:val="24"/>
          <w:szCs w:val="24"/>
        </w:rPr>
        <w:t xml:space="preserve"> 1973).</w:t>
      </w:r>
      <w:r w:rsidR="00D22205" w:rsidRPr="00126B2F">
        <w:rPr>
          <w:rFonts w:cs="Times New Roman"/>
          <w:sz w:val="24"/>
          <w:szCs w:val="24"/>
        </w:rPr>
        <w:t xml:space="preserve"> Jensen and </w:t>
      </w:r>
      <w:proofErr w:type="spellStart"/>
      <w:r w:rsidR="00D22205" w:rsidRPr="00126B2F">
        <w:rPr>
          <w:rFonts w:cs="Times New Roman"/>
          <w:sz w:val="24"/>
          <w:szCs w:val="24"/>
        </w:rPr>
        <w:t>Meckling</w:t>
      </w:r>
      <w:proofErr w:type="spellEnd"/>
      <w:r w:rsidR="00D22205" w:rsidRPr="00126B2F">
        <w:rPr>
          <w:rFonts w:cs="Times New Roman"/>
          <w:sz w:val="24"/>
          <w:szCs w:val="24"/>
        </w:rPr>
        <w:t xml:space="preserve"> (1976) posit </w:t>
      </w:r>
      <w:r w:rsidR="008A266C" w:rsidRPr="00126B2F">
        <w:rPr>
          <w:rFonts w:cs="Times New Roman"/>
          <w:sz w:val="24"/>
          <w:szCs w:val="24"/>
        </w:rPr>
        <w:t xml:space="preserve">two ways to </w:t>
      </w:r>
      <w:r w:rsidR="00075ABA" w:rsidRPr="00126B2F">
        <w:rPr>
          <w:rFonts w:cs="Times New Roman"/>
          <w:sz w:val="24"/>
          <w:szCs w:val="24"/>
        </w:rPr>
        <w:t>mitigate</w:t>
      </w:r>
      <w:r w:rsidR="008A266C" w:rsidRPr="00126B2F">
        <w:rPr>
          <w:rFonts w:cs="Times New Roman"/>
          <w:sz w:val="24"/>
          <w:szCs w:val="24"/>
        </w:rPr>
        <w:t xml:space="preserve"> this problem</w:t>
      </w:r>
      <w:r w:rsidR="00D22205" w:rsidRPr="00126B2F">
        <w:rPr>
          <w:rFonts w:cs="Times New Roman"/>
          <w:sz w:val="24"/>
          <w:szCs w:val="24"/>
        </w:rPr>
        <w:t xml:space="preserve">. First, principals may institute costly </w:t>
      </w:r>
      <w:r w:rsidR="00F6044A" w:rsidRPr="00126B2F">
        <w:rPr>
          <w:rFonts w:cs="Times New Roman"/>
          <w:sz w:val="24"/>
          <w:szCs w:val="24"/>
        </w:rPr>
        <w:t xml:space="preserve">governance </w:t>
      </w:r>
      <w:r w:rsidR="00D22205" w:rsidRPr="00126B2F">
        <w:rPr>
          <w:rFonts w:cs="Times New Roman"/>
          <w:sz w:val="24"/>
          <w:szCs w:val="24"/>
        </w:rPr>
        <w:t xml:space="preserve">systems that delimit, control and monitor </w:t>
      </w:r>
      <w:r w:rsidR="009E51D7" w:rsidRPr="00126B2F">
        <w:rPr>
          <w:rFonts w:cs="Times New Roman"/>
          <w:sz w:val="24"/>
          <w:szCs w:val="24"/>
        </w:rPr>
        <w:t xml:space="preserve">agents’ </w:t>
      </w:r>
      <w:r w:rsidR="00D22205" w:rsidRPr="00126B2F">
        <w:rPr>
          <w:rFonts w:cs="Times New Roman"/>
          <w:sz w:val="24"/>
          <w:szCs w:val="24"/>
        </w:rPr>
        <w:t xml:space="preserve">actions. Second, principals </w:t>
      </w:r>
      <w:r w:rsidR="009E51D7" w:rsidRPr="00126B2F">
        <w:rPr>
          <w:rFonts w:cs="Times New Roman"/>
          <w:sz w:val="24"/>
          <w:szCs w:val="24"/>
        </w:rPr>
        <w:t>can</w:t>
      </w:r>
      <w:r w:rsidR="00D22205" w:rsidRPr="00126B2F">
        <w:rPr>
          <w:rFonts w:cs="Times New Roman"/>
          <w:sz w:val="24"/>
          <w:szCs w:val="24"/>
        </w:rPr>
        <w:t xml:space="preserve"> align agents’ interests to th</w:t>
      </w:r>
      <w:r w:rsidR="00B1097F" w:rsidRPr="00126B2F">
        <w:rPr>
          <w:rFonts w:cs="Times New Roman"/>
          <w:sz w:val="24"/>
          <w:szCs w:val="24"/>
        </w:rPr>
        <w:t>eir own</w:t>
      </w:r>
      <w:r w:rsidR="00F6044A" w:rsidRPr="00126B2F">
        <w:rPr>
          <w:rFonts w:cs="Times New Roman"/>
          <w:sz w:val="24"/>
          <w:szCs w:val="24"/>
        </w:rPr>
        <w:t xml:space="preserve"> </w:t>
      </w:r>
      <w:r w:rsidR="009E51D7" w:rsidRPr="00126B2F">
        <w:rPr>
          <w:rFonts w:cs="Times New Roman"/>
          <w:sz w:val="24"/>
          <w:szCs w:val="24"/>
        </w:rPr>
        <w:t>using remuneration</w:t>
      </w:r>
      <w:r w:rsidR="009C4A73">
        <w:rPr>
          <w:rFonts w:cs="Times New Roman"/>
          <w:sz w:val="24"/>
          <w:szCs w:val="24"/>
        </w:rPr>
        <w:t>—</w:t>
      </w:r>
      <w:r w:rsidR="00245405" w:rsidRPr="00126B2F">
        <w:rPr>
          <w:rFonts w:cs="Times New Roman"/>
          <w:sz w:val="24"/>
          <w:szCs w:val="24"/>
        </w:rPr>
        <w:t>m</w:t>
      </w:r>
      <w:r w:rsidR="00D22205" w:rsidRPr="00126B2F">
        <w:rPr>
          <w:rFonts w:cs="Times New Roman"/>
          <w:sz w:val="24"/>
          <w:szCs w:val="24"/>
        </w:rPr>
        <w:t>anagers will seek to maximise shareholder wealth if they share in it</w:t>
      </w:r>
      <w:r w:rsidR="00C42339" w:rsidRPr="00126B2F">
        <w:rPr>
          <w:rFonts w:cs="Times New Roman"/>
          <w:sz w:val="24"/>
          <w:szCs w:val="24"/>
        </w:rPr>
        <w:t xml:space="preserve"> (Jensen &amp; </w:t>
      </w:r>
      <w:proofErr w:type="spellStart"/>
      <w:r w:rsidR="00C42339" w:rsidRPr="00126B2F">
        <w:rPr>
          <w:rFonts w:cs="Times New Roman"/>
          <w:sz w:val="24"/>
          <w:szCs w:val="24"/>
        </w:rPr>
        <w:t>Meckling</w:t>
      </w:r>
      <w:proofErr w:type="spellEnd"/>
      <w:r w:rsidR="0085299D" w:rsidRPr="00126B2F">
        <w:rPr>
          <w:rFonts w:cs="Times New Roman"/>
          <w:sz w:val="24"/>
          <w:szCs w:val="24"/>
        </w:rPr>
        <w:t>,</w:t>
      </w:r>
      <w:r w:rsidR="00C42339" w:rsidRPr="00126B2F">
        <w:rPr>
          <w:rFonts w:cs="Times New Roman"/>
          <w:sz w:val="24"/>
          <w:szCs w:val="24"/>
        </w:rPr>
        <w:t xml:space="preserve"> 1976)</w:t>
      </w:r>
      <w:r w:rsidR="00D22205" w:rsidRPr="00126B2F">
        <w:rPr>
          <w:rFonts w:cs="Times New Roman"/>
          <w:sz w:val="24"/>
          <w:szCs w:val="24"/>
        </w:rPr>
        <w:t xml:space="preserve">. Agency theory </w:t>
      </w:r>
      <w:r w:rsidR="00B1097F" w:rsidRPr="00126B2F">
        <w:rPr>
          <w:rFonts w:cs="Times New Roman"/>
          <w:sz w:val="24"/>
          <w:szCs w:val="24"/>
        </w:rPr>
        <w:t xml:space="preserve">suggests </w:t>
      </w:r>
      <w:r w:rsidR="00D22205" w:rsidRPr="00126B2F">
        <w:rPr>
          <w:rFonts w:cs="Times New Roman"/>
          <w:sz w:val="24"/>
          <w:szCs w:val="24"/>
        </w:rPr>
        <w:t>that remuneration is the most cost-effective way to protect shareholders’ interes</w:t>
      </w:r>
      <w:r w:rsidR="00683AB1" w:rsidRPr="00126B2F">
        <w:rPr>
          <w:rFonts w:cs="Times New Roman"/>
          <w:sz w:val="24"/>
          <w:szCs w:val="24"/>
        </w:rPr>
        <w:t xml:space="preserve">ts because it frees managers </w:t>
      </w:r>
      <w:r w:rsidR="00D22205" w:rsidRPr="00126B2F">
        <w:rPr>
          <w:rFonts w:cs="Times New Roman"/>
          <w:sz w:val="24"/>
          <w:szCs w:val="24"/>
        </w:rPr>
        <w:t xml:space="preserve">to behave entrepreneurially </w:t>
      </w:r>
      <w:r w:rsidR="0085299D" w:rsidRPr="00126B2F">
        <w:rPr>
          <w:rFonts w:cs="Times New Roman"/>
          <w:sz w:val="24"/>
          <w:szCs w:val="24"/>
        </w:rPr>
        <w:t>whilst</w:t>
      </w:r>
      <w:r w:rsidR="00D22205" w:rsidRPr="00126B2F">
        <w:rPr>
          <w:rFonts w:cs="Times New Roman"/>
          <w:sz w:val="24"/>
          <w:szCs w:val="24"/>
        </w:rPr>
        <w:t xml:space="preserve"> minimis</w:t>
      </w:r>
      <w:r w:rsidR="0085299D" w:rsidRPr="00126B2F">
        <w:rPr>
          <w:rFonts w:cs="Times New Roman"/>
          <w:sz w:val="24"/>
          <w:szCs w:val="24"/>
        </w:rPr>
        <w:t>ing</w:t>
      </w:r>
      <w:r w:rsidR="00D22205" w:rsidRPr="00126B2F">
        <w:rPr>
          <w:rFonts w:cs="Times New Roman"/>
          <w:sz w:val="24"/>
          <w:szCs w:val="24"/>
        </w:rPr>
        <w:t xml:space="preserve"> </w:t>
      </w:r>
      <w:r w:rsidR="00075ABA" w:rsidRPr="00126B2F">
        <w:rPr>
          <w:rFonts w:cs="Times New Roman"/>
          <w:sz w:val="24"/>
          <w:szCs w:val="24"/>
        </w:rPr>
        <w:t xml:space="preserve">surveillance costs </w:t>
      </w:r>
      <w:r w:rsidR="00E926DE" w:rsidRPr="00126B2F">
        <w:rPr>
          <w:rFonts w:cs="Times New Roman"/>
          <w:sz w:val="24"/>
          <w:szCs w:val="24"/>
        </w:rPr>
        <w:t xml:space="preserve">(Panda &amp; </w:t>
      </w:r>
      <w:proofErr w:type="spellStart"/>
      <w:r w:rsidR="00E926DE" w:rsidRPr="00126B2F">
        <w:rPr>
          <w:rFonts w:cs="Times New Roman"/>
          <w:sz w:val="24"/>
          <w:szCs w:val="24"/>
        </w:rPr>
        <w:t>Leepsa</w:t>
      </w:r>
      <w:proofErr w:type="spellEnd"/>
      <w:r w:rsidR="0085299D" w:rsidRPr="00126B2F">
        <w:rPr>
          <w:rFonts w:cs="Times New Roman"/>
          <w:sz w:val="24"/>
          <w:szCs w:val="24"/>
        </w:rPr>
        <w:t>,</w:t>
      </w:r>
      <w:r w:rsidR="00E926DE" w:rsidRPr="00126B2F">
        <w:rPr>
          <w:rFonts w:cs="Times New Roman"/>
          <w:sz w:val="24"/>
          <w:szCs w:val="24"/>
        </w:rPr>
        <w:t xml:space="preserve"> 2017)</w:t>
      </w:r>
      <w:r w:rsidR="00D22205" w:rsidRPr="00126B2F">
        <w:rPr>
          <w:rFonts w:cs="Times New Roman"/>
          <w:sz w:val="24"/>
          <w:szCs w:val="24"/>
        </w:rPr>
        <w:t>.</w:t>
      </w:r>
      <w:r w:rsidR="003C0DE5" w:rsidRPr="00126B2F">
        <w:rPr>
          <w:rFonts w:cs="Times New Roman"/>
          <w:sz w:val="24"/>
          <w:szCs w:val="24"/>
        </w:rPr>
        <w:t xml:space="preserve"> </w:t>
      </w:r>
      <w:r w:rsidR="008336E0" w:rsidRPr="00126B2F">
        <w:rPr>
          <w:rFonts w:cs="Times New Roman"/>
          <w:sz w:val="24"/>
          <w:szCs w:val="24"/>
        </w:rPr>
        <w:t>M</w:t>
      </w:r>
      <w:r w:rsidR="00221A62" w:rsidRPr="00126B2F">
        <w:rPr>
          <w:rFonts w:cs="Times New Roman"/>
          <w:sz w:val="24"/>
          <w:szCs w:val="24"/>
        </w:rPr>
        <w:t xml:space="preserve">anagers’ remuneration </w:t>
      </w:r>
      <w:r w:rsidR="009C4A73">
        <w:rPr>
          <w:rFonts w:cs="Times New Roman"/>
          <w:sz w:val="24"/>
          <w:szCs w:val="24"/>
        </w:rPr>
        <w:t xml:space="preserve">therefore </w:t>
      </w:r>
      <w:r w:rsidR="00593E87" w:rsidRPr="00126B2F">
        <w:rPr>
          <w:rFonts w:cs="Times New Roman"/>
          <w:sz w:val="24"/>
          <w:szCs w:val="24"/>
        </w:rPr>
        <w:t>r</w:t>
      </w:r>
      <w:r w:rsidR="00221A62" w:rsidRPr="00126B2F">
        <w:rPr>
          <w:rFonts w:cs="Times New Roman"/>
          <w:sz w:val="24"/>
          <w:szCs w:val="24"/>
        </w:rPr>
        <w:t>eflect</w:t>
      </w:r>
      <w:r w:rsidR="00593E87" w:rsidRPr="00126B2F">
        <w:rPr>
          <w:rFonts w:cs="Times New Roman"/>
          <w:sz w:val="24"/>
          <w:szCs w:val="24"/>
        </w:rPr>
        <w:t>s</w:t>
      </w:r>
      <w:r w:rsidR="00221A62" w:rsidRPr="00126B2F">
        <w:rPr>
          <w:rFonts w:cs="Times New Roman"/>
          <w:sz w:val="24"/>
          <w:szCs w:val="24"/>
        </w:rPr>
        <w:t xml:space="preserve"> </w:t>
      </w:r>
      <w:r w:rsidR="00593E87" w:rsidRPr="00126B2F">
        <w:rPr>
          <w:rFonts w:cs="Times New Roman"/>
          <w:sz w:val="24"/>
          <w:szCs w:val="24"/>
        </w:rPr>
        <w:t xml:space="preserve">the cost of ensuring that they can be trusted, not </w:t>
      </w:r>
      <w:r w:rsidR="00221A62" w:rsidRPr="00126B2F">
        <w:rPr>
          <w:rFonts w:cs="Times New Roman"/>
          <w:sz w:val="24"/>
          <w:szCs w:val="24"/>
        </w:rPr>
        <w:t xml:space="preserve">the </w:t>
      </w:r>
      <w:r w:rsidR="008336E0" w:rsidRPr="00126B2F">
        <w:rPr>
          <w:rFonts w:cs="Times New Roman"/>
          <w:sz w:val="24"/>
          <w:szCs w:val="24"/>
        </w:rPr>
        <w:t>economic value of their contribution</w:t>
      </w:r>
      <w:r w:rsidR="00593E87" w:rsidRPr="00126B2F">
        <w:rPr>
          <w:rFonts w:cs="Times New Roman"/>
          <w:sz w:val="24"/>
          <w:szCs w:val="24"/>
        </w:rPr>
        <w:t>.</w:t>
      </w:r>
    </w:p>
    <w:p w14:paraId="1AEA938D" w14:textId="77777777" w:rsidR="00221A62" w:rsidRPr="00126B2F" w:rsidRDefault="00221A62" w:rsidP="00F7771F">
      <w:pPr>
        <w:spacing w:after="0" w:line="360" w:lineRule="auto"/>
        <w:rPr>
          <w:rFonts w:cs="Times New Roman"/>
          <w:sz w:val="24"/>
          <w:szCs w:val="24"/>
        </w:rPr>
      </w:pPr>
    </w:p>
    <w:p w14:paraId="247EFDDE" w14:textId="59AA2E7A" w:rsidR="00E308DC" w:rsidRPr="00126B2F" w:rsidRDefault="00E308DC" w:rsidP="00F7771F">
      <w:pPr>
        <w:spacing w:after="0" w:line="360" w:lineRule="auto"/>
        <w:rPr>
          <w:rFonts w:cs="Times New Roman"/>
          <w:sz w:val="24"/>
          <w:szCs w:val="24"/>
        </w:rPr>
      </w:pPr>
      <w:r w:rsidRPr="00126B2F">
        <w:rPr>
          <w:rFonts w:cs="Times New Roman"/>
          <w:sz w:val="24"/>
          <w:szCs w:val="24"/>
        </w:rPr>
        <w:t xml:space="preserve">Davis, </w:t>
      </w:r>
      <w:proofErr w:type="spellStart"/>
      <w:r w:rsidRPr="00126B2F">
        <w:rPr>
          <w:rFonts w:cs="Times New Roman"/>
          <w:sz w:val="24"/>
          <w:szCs w:val="24"/>
        </w:rPr>
        <w:t>Schoorman</w:t>
      </w:r>
      <w:proofErr w:type="spellEnd"/>
      <w:r w:rsidRPr="00126B2F">
        <w:rPr>
          <w:rFonts w:cs="Times New Roman"/>
          <w:sz w:val="24"/>
          <w:szCs w:val="24"/>
        </w:rPr>
        <w:t xml:space="preserve"> and Donaldson (1997) differentiate agency and stewardship using </w:t>
      </w:r>
      <w:r w:rsidR="00486B2F" w:rsidRPr="00126B2F">
        <w:rPr>
          <w:rFonts w:cs="Times New Roman"/>
          <w:sz w:val="24"/>
          <w:szCs w:val="24"/>
        </w:rPr>
        <w:t xml:space="preserve">six </w:t>
      </w:r>
      <w:r w:rsidRPr="00126B2F">
        <w:rPr>
          <w:rFonts w:cs="Times New Roman"/>
          <w:sz w:val="24"/>
          <w:szCs w:val="24"/>
        </w:rPr>
        <w:t xml:space="preserve">psychological and situational vectors. </w:t>
      </w:r>
      <w:r w:rsidR="00AF4F76" w:rsidRPr="00126B2F">
        <w:rPr>
          <w:rFonts w:cs="Times New Roman"/>
          <w:sz w:val="24"/>
          <w:szCs w:val="24"/>
        </w:rPr>
        <w:t xml:space="preserve">First, </w:t>
      </w:r>
      <w:r w:rsidRPr="00126B2F">
        <w:rPr>
          <w:rFonts w:cs="Times New Roman"/>
          <w:sz w:val="24"/>
          <w:szCs w:val="24"/>
        </w:rPr>
        <w:t>agency favours measurable, extrinsic motivations such as remuneration, whereas stewardship focuses on less measurable intrinsic factors such as personal growth</w:t>
      </w:r>
      <w:r w:rsidR="00593E87" w:rsidRPr="00126B2F">
        <w:rPr>
          <w:rFonts w:cs="Times New Roman"/>
          <w:sz w:val="24"/>
          <w:szCs w:val="24"/>
        </w:rPr>
        <w:t xml:space="preserve"> and </w:t>
      </w:r>
      <w:r w:rsidRPr="00126B2F">
        <w:rPr>
          <w:rFonts w:cs="Times New Roman"/>
          <w:sz w:val="24"/>
          <w:szCs w:val="24"/>
        </w:rPr>
        <w:t>achievement</w:t>
      </w:r>
      <w:r w:rsidR="00486B2F" w:rsidRPr="00126B2F">
        <w:rPr>
          <w:rFonts w:cs="Times New Roman"/>
          <w:sz w:val="24"/>
          <w:szCs w:val="24"/>
        </w:rPr>
        <w:t xml:space="preserve"> (Davis et al., 1997</w:t>
      </w:r>
      <w:r w:rsidR="00097BB1">
        <w:rPr>
          <w:rFonts w:cs="Times New Roman"/>
          <w:sz w:val="24"/>
          <w:szCs w:val="24"/>
        </w:rPr>
        <w:t>, p. 27</w:t>
      </w:r>
      <w:r w:rsidR="005358CB">
        <w:rPr>
          <w:rFonts w:cs="Times New Roman"/>
          <w:sz w:val="24"/>
          <w:szCs w:val="24"/>
        </w:rPr>
        <w:t>–</w:t>
      </w:r>
      <w:r w:rsidR="00097BB1">
        <w:rPr>
          <w:rFonts w:cs="Times New Roman"/>
          <w:sz w:val="24"/>
          <w:szCs w:val="24"/>
        </w:rPr>
        <w:t>9</w:t>
      </w:r>
      <w:r w:rsidR="00486B2F" w:rsidRPr="00126B2F">
        <w:rPr>
          <w:rFonts w:cs="Times New Roman"/>
          <w:sz w:val="24"/>
          <w:szCs w:val="24"/>
        </w:rPr>
        <w:t>)</w:t>
      </w:r>
      <w:r w:rsidRPr="00126B2F">
        <w:rPr>
          <w:rFonts w:cs="Times New Roman"/>
          <w:sz w:val="24"/>
          <w:szCs w:val="24"/>
        </w:rPr>
        <w:t>. Second</w:t>
      </w:r>
      <w:r w:rsidR="008044CB" w:rsidRPr="00126B2F">
        <w:rPr>
          <w:rFonts w:cs="Times New Roman"/>
          <w:sz w:val="24"/>
          <w:szCs w:val="24"/>
        </w:rPr>
        <w:t xml:space="preserve">, </w:t>
      </w:r>
      <w:r w:rsidRPr="00126B2F">
        <w:rPr>
          <w:rFonts w:cs="Times New Roman"/>
          <w:sz w:val="24"/>
          <w:szCs w:val="24"/>
        </w:rPr>
        <w:t xml:space="preserve">the organisation becomes an extension of </w:t>
      </w:r>
      <w:r w:rsidR="008044CB" w:rsidRPr="00126B2F">
        <w:rPr>
          <w:rFonts w:cs="Times New Roman"/>
          <w:sz w:val="24"/>
          <w:szCs w:val="24"/>
        </w:rPr>
        <w:t xml:space="preserve">a steward’s </w:t>
      </w:r>
      <w:r w:rsidRPr="00126B2F">
        <w:rPr>
          <w:rFonts w:cs="Times New Roman"/>
          <w:sz w:val="24"/>
          <w:szCs w:val="24"/>
        </w:rPr>
        <w:t>identity and ‘psychological structure’ (Davis et al.</w:t>
      </w:r>
      <w:r w:rsidR="00A95A85" w:rsidRPr="00126B2F">
        <w:rPr>
          <w:rFonts w:cs="Times New Roman"/>
          <w:sz w:val="24"/>
          <w:szCs w:val="24"/>
        </w:rPr>
        <w:t>,</w:t>
      </w:r>
      <w:r w:rsidRPr="00126B2F">
        <w:rPr>
          <w:rFonts w:cs="Times New Roman"/>
          <w:sz w:val="24"/>
          <w:szCs w:val="24"/>
        </w:rPr>
        <w:t xml:space="preserve"> 1997, p. 29), </w:t>
      </w:r>
      <w:r w:rsidR="00593E87" w:rsidRPr="00126B2F">
        <w:rPr>
          <w:rFonts w:cs="Times New Roman"/>
          <w:sz w:val="24"/>
          <w:szCs w:val="24"/>
        </w:rPr>
        <w:t>but, f</w:t>
      </w:r>
      <w:r w:rsidRPr="00126B2F">
        <w:rPr>
          <w:rFonts w:cs="Times New Roman"/>
          <w:sz w:val="24"/>
          <w:szCs w:val="24"/>
        </w:rPr>
        <w:t xml:space="preserve">or an agent, the attachment is strictly financial and self-serving. Third, the institutionalised and sometimes coercive structural power of agency relationships </w:t>
      </w:r>
      <w:r w:rsidR="00593E87" w:rsidRPr="00126B2F">
        <w:rPr>
          <w:rFonts w:cs="Times New Roman"/>
          <w:sz w:val="24"/>
          <w:szCs w:val="24"/>
        </w:rPr>
        <w:t xml:space="preserve">can be distinguished from </w:t>
      </w:r>
      <w:r w:rsidRPr="00126B2F">
        <w:rPr>
          <w:rFonts w:cs="Times New Roman"/>
          <w:sz w:val="24"/>
          <w:szCs w:val="24"/>
        </w:rPr>
        <w:t>the personal expert and referent power of stewardship</w:t>
      </w:r>
      <w:r w:rsidR="00486B2F" w:rsidRPr="00126B2F">
        <w:rPr>
          <w:rFonts w:cs="Times New Roman"/>
          <w:sz w:val="24"/>
          <w:szCs w:val="24"/>
        </w:rPr>
        <w:t xml:space="preserve"> (Davis et al., 1997</w:t>
      </w:r>
      <w:r w:rsidR="00097BB1">
        <w:rPr>
          <w:rFonts w:cs="Times New Roman"/>
          <w:sz w:val="24"/>
          <w:szCs w:val="24"/>
        </w:rPr>
        <w:t>, p.</w:t>
      </w:r>
      <w:r w:rsidR="005358CB">
        <w:rPr>
          <w:rFonts w:cs="Times New Roman"/>
          <w:sz w:val="24"/>
          <w:szCs w:val="24"/>
        </w:rPr>
        <w:t xml:space="preserve"> </w:t>
      </w:r>
      <w:r w:rsidR="00097BB1">
        <w:rPr>
          <w:rFonts w:cs="Times New Roman"/>
          <w:sz w:val="24"/>
          <w:szCs w:val="24"/>
        </w:rPr>
        <w:t>31</w:t>
      </w:r>
      <w:r w:rsidR="005358CB">
        <w:rPr>
          <w:rFonts w:cs="Times New Roman"/>
          <w:sz w:val="24"/>
          <w:szCs w:val="24"/>
        </w:rPr>
        <w:t>–</w:t>
      </w:r>
      <w:r w:rsidR="00097BB1">
        <w:rPr>
          <w:rFonts w:cs="Times New Roman"/>
          <w:sz w:val="24"/>
          <w:szCs w:val="24"/>
        </w:rPr>
        <w:t>2</w:t>
      </w:r>
      <w:r w:rsidR="00486B2F" w:rsidRPr="00126B2F">
        <w:rPr>
          <w:rFonts w:cs="Times New Roman"/>
          <w:sz w:val="24"/>
          <w:szCs w:val="24"/>
        </w:rPr>
        <w:t>)</w:t>
      </w:r>
      <w:r w:rsidRPr="00126B2F">
        <w:rPr>
          <w:rFonts w:cs="Times New Roman"/>
          <w:sz w:val="24"/>
          <w:szCs w:val="24"/>
        </w:rPr>
        <w:t>. Fourth, stewardship is marked by high commitment and trust</w:t>
      </w:r>
      <w:r w:rsidR="00593E87" w:rsidRPr="00126B2F">
        <w:rPr>
          <w:rFonts w:cs="Times New Roman"/>
          <w:sz w:val="24"/>
          <w:szCs w:val="24"/>
        </w:rPr>
        <w:t xml:space="preserve">, but </w:t>
      </w:r>
      <w:r w:rsidRPr="00126B2F">
        <w:rPr>
          <w:rFonts w:cs="Times New Roman"/>
          <w:sz w:val="24"/>
          <w:szCs w:val="24"/>
        </w:rPr>
        <w:t>agency seeks to minimise risk through control systems that cast individuals as economically self-interested actors</w:t>
      </w:r>
      <w:r w:rsidR="00486B2F" w:rsidRPr="00126B2F">
        <w:rPr>
          <w:rFonts w:cs="Times New Roman"/>
          <w:sz w:val="24"/>
          <w:szCs w:val="24"/>
        </w:rPr>
        <w:t xml:space="preserve"> (Davis et al., 1997</w:t>
      </w:r>
      <w:r w:rsidR="00097BB1">
        <w:rPr>
          <w:rFonts w:cs="Times New Roman"/>
          <w:sz w:val="24"/>
          <w:szCs w:val="24"/>
        </w:rPr>
        <w:t>, p</w:t>
      </w:r>
      <w:r w:rsidR="005358CB">
        <w:rPr>
          <w:rFonts w:cs="Times New Roman"/>
          <w:sz w:val="24"/>
          <w:szCs w:val="24"/>
        </w:rPr>
        <w:t xml:space="preserve">. </w:t>
      </w:r>
      <w:r w:rsidR="00097BB1">
        <w:rPr>
          <w:rFonts w:cs="Times New Roman"/>
          <w:sz w:val="24"/>
          <w:szCs w:val="24"/>
        </w:rPr>
        <w:t>32</w:t>
      </w:r>
      <w:r w:rsidR="005358CB">
        <w:rPr>
          <w:rFonts w:cs="Times New Roman"/>
          <w:sz w:val="24"/>
          <w:szCs w:val="24"/>
        </w:rPr>
        <w:t>–</w:t>
      </w:r>
      <w:r w:rsidR="00097BB1">
        <w:rPr>
          <w:rFonts w:cs="Times New Roman"/>
          <w:sz w:val="24"/>
          <w:szCs w:val="24"/>
        </w:rPr>
        <w:t>4</w:t>
      </w:r>
      <w:r w:rsidR="00486B2F" w:rsidRPr="00126B2F">
        <w:rPr>
          <w:rFonts w:cs="Times New Roman"/>
          <w:sz w:val="24"/>
          <w:szCs w:val="24"/>
        </w:rPr>
        <w:t>)</w:t>
      </w:r>
      <w:r w:rsidRPr="00126B2F">
        <w:rPr>
          <w:rFonts w:cs="Times New Roman"/>
          <w:sz w:val="24"/>
          <w:szCs w:val="24"/>
        </w:rPr>
        <w:t>. Fifth, stewardship tends to be collectivist whilst agency is individualistic</w:t>
      </w:r>
      <w:r w:rsidR="00486B2F" w:rsidRPr="00126B2F">
        <w:rPr>
          <w:rFonts w:cs="Times New Roman"/>
          <w:sz w:val="24"/>
          <w:szCs w:val="24"/>
        </w:rPr>
        <w:t xml:space="preserve"> (Davis et al., 1997</w:t>
      </w:r>
      <w:r w:rsidR="00097BB1">
        <w:rPr>
          <w:rFonts w:cs="Times New Roman"/>
          <w:sz w:val="24"/>
          <w:szCs w:val="24"/>
        </w:rPr>
        <w:t>, p</w:t>
      </w:r>
      <w:r w:rsidR="005358CB">
        <w:rPr>
          <w:rFonts w:cs="Times New Roman"/>
          <w:sz w:val="24"/>
          <w:szCs w:val="24"/>
        </w:rPr>
        <w:t xml:space="preserve">. </w:t>
      </w:r>
      <w:r w:rsidR="00097BB1">
        <w:rPr>
          <w:rFonts w:cs="Times New Roman"/>
          <w:sz w:val="24"/>
          <w:szCs w:val="24"/>
        </w:rPr>
        <w:t>34</w:t>
      </w:r>
      <w:r w:rsidR="005358CB">
        <w:rPr>
          <w:rFonts w:cs="Times New Roman"/>
          <w:sz w:val="24"/>
          <w:szCs w:val="24"/>
        </w:rPr>
        <w:t>–</w:t>
      </w:r>
      <w:r w:rsidR="00097BB1">
        <w:rPr>
          <w:rFonts w:cs="Times New Roman"/>
          <w:sz w:val="24"/>
          <w:szCs w:val="24"/>
        </w:rPr>
        <w:lastRenderedPageBreak/>
        <w:t>5</w:t>
      </w:r>
      <w:r w:rsidR="00486B2F" w:rsidRPr="00126B2F">
        <w:rPr>
          <w:rFonts w:cs="Times New Roman"/>
          <w:sz w:val="24"/>
          <w:szCs w:val="24"/>
        </w:rPr>
        <w:t>)</w:t>
      </w:r>
      <w:r w:rsidRPr="00126B2F">
        <w:rPr>
          <w:rFonts w:cs="Times New Roman"/>
          <w:sz w:val="24"/>
          <w:szCs w:val="24"/>
        </w:rPr>
        <w:t>. Finally, stewardship is marked by lower power-distance relationships than agency, with flatter, less hierarchical organisations</w:t>
      </w:r>
      <w:r w:rsidR="00486B2F" w:rsidRPr="00126B2F">
        <w:rPr>
          <w:rFonts w:cs="Times New Roman"/>
          <w:sz w:val="24"/>
          <w:szCs w:val="24"/>
        </w:rPr>
        <w:t xml:space="preserve"> (Davis et al. 1997</w:t>
      </w:r>
      <w:r w:rsidR="00097BB1">
        <w:rPr>
          <w:rFonts w:cs="Times New Roman"/>
          <w:sz w:val="24"/>
          <w:szCs w:val="24"/>
        </w:rPr>
        <w:t>, p. 35</w:t>
      </w:r>
      <w:r w:rsidR="005358CB">
        <w:rPr>
          <w:rFonts w:cs="Times New Roman"/>
          <w:sz w:val="24"/>
          <w:szCs w:val="24"/>
        </w:rPr>
        <w:t>–</w:t>
      </w:r>
      <w:r w:rsidR="00097BB1">
        <w:rPr>
          <w:rFonts w:cs="Times New Roman"/>
          <w:sz w:val="24"/>
          <w:szCs w:val="24"/>
        </w:rPr>
        <w:t>6</w:t>
      </w:r>
      <w:r w:rsidR="00486B2F" w:rsidRPr="00126B2F">
        <w:rPr>
          <w:rFonts w:cs="Times New Roman"/>
          <w:sz w:val="24"/>
          <w:szCs w:val="24"/>
        </w:rPr>
        <w:t>)</w:t>
      </w:r>
      <w:r w:rsidRPr="00126B2F">
        <w:rPr>
          <w:rFonts w:cs="Times New Roman"/>
          <w:sz w:val="24"/>
          <w:szCs w:val="24"/>
        </w:rPr>
        <w:t>.</w:t>
      </w:r>
    </w:p>
    <w:p w14:paraId="7990D49A" w14:textId="77777777" w:rsidR="00E308DC" w:rsidRPr="00126B2F" w:rsidRDefault="00E308DC" w:rsidP="00F7771F">
      <w:pPr>
        <w:spacing w:after="0" w:line="360" w:lineRule="auto"/>
        <w:rPr>
          <w:rFonts w:cs="Times New Roman"/>
          <w:sz w:val="24"/>
          <w:szCs w:val="24"/>
        </w:rPr>
      </w:pPr>
    </w:p>
    <w:p w14:paraId="7528D583" w14:textId="4940A06E" w:rsidR="00416301" w:rsidRPr="00126B2F" w:rsidRDefault="00E308DC" w:rsidP="00F7771F">
      <w:pPr>
        <w:spacing w:after="0" w:line="360" w:lineRule="auto"/>
        <w:rPr>
          <w:rFonts w:cs="Times New Roman"/>
          <w:sz w:val="24"/>
          <w:szCs w:val="24"/>
        </w:rPr>
      </w:pPr>
      <w:r w:rsidRPr="00126B2F">
        <w:rPr>
          <w:rFonts w:cs="Times New Roman"/>
          <w:sz w:val="24"/>
          <w:szCs w:val="24"/>
        </w:rPr>
        <w:t xml:space="preserve">Agency </w:t>
      </w:r>
      <w:r w:rsidR="00FF0443" w:rsidRPr="00126B2F">
        <w:rPr>
          <w:rFonts w:cs="Times New Roman"/>
          <w:sz w:val="24"/>
          <w:szCs w:val="24"/>
        </w:rPr>
        <w:t xml:space="preserve">governance </w:t>
      </w:r>
      <w:r w:rsidR="00593E87" w:rsidRPr="00126B2F">
        <w:rPr>
          <w:rFonts w:cs="Times New Roman"/>
          <w:sz w:val="24"/>
          <w:szCs w:val="24"/>
        </w:rPr>
        <w:t>was</w:t>
      </w:r>
      <w:r w:rsidR="00FF0443" w:rsidRPr="00126B2F">
        <w:rPr>
          <w:rFonts w:cs="Times New Roman"/>
          <w:sz w:val="24"/>
          <w:szCs w:val="24"/>
        </w:rPr>
        <w:t xml:space="preserve"> increasingly adopted in the corporate world from the 1970s</w:t>
      </w:r>
      <w:r w:rsidR="00486B2F" w:rsidRPr="00126B2F">
        <w:rPr>
          <w:rFonts w:cs="Times New Roman"/>
          <w:sz w:val="24"/>
          <w:szCs w:val="24"/>
        </w:rPr>
        <w:t xml:space="preserve"> </w:t>
      </w:r>
      <w:r w:rsidR="00841892" w:rsidRPr="00126B2F">
        <w:rPr>
          <w:rFonts w:cs="Times New Roman"/>
          <w:sz w:val="24"/>
          <w:szCs w:val="24"/>
        </w:rPr>
        <w:t>(Mitnick</w:t>
      </w:r>
      <w:r w:rsidR="00F7771F">
        <w:rPr>
          <w:rFonts w:cs="Times New Roman"/>
          <w:sz w:val="24"/>
          <w:szCs w:val="24"/>
        </w:rPr>
        <w:t>,</w:t>
      </w:r>
      <w:r w:rsidR="00841892" w:rsidRPr="00126B2F">
        <w:rPr>
          <w:rFonts w:cs="Times New Roman"/>
          <w:sz w:val="24"/>
          <w:szCs w:val="24"/>
        </w:rPr>
        <w:t xml:space="preserve"> 2006)</w:t>
      </w:r>
      <w:r w:rsidR="00FF0443" w:rsidRPr="00126B2F">
        <w:rPr>
          <w:rFonts w:cs="Times New Roman"/>
          <w:sz w:val="24"/>
          <w:szCs w:val="24"/>
        </w:rPr>
        <w:t xml:space="preserve">. </w:t>
      </w:r>
      <w:r w:rsidR="00A95A85" w:rsidRPr="00126B2F">
        <w:rPr>
          <w:rFonts w:cs="Times New Roman"/>
          <w:sz w:val="24"/>
          <w:szCs w:val="24"/>
        </w:rPr>
        <w:t>It</w:t>
      </w:r>
      <w:r w:rsidR="00C24B70" w:rsidRPr="00126B2F">
        <w:rPr>
          <w:rFonts w:cs="Times New Roman"/>
          <w:sz w:val="24"/>
          <w:szCs w:val="24"/>
        </w:rPr>
        <w:t xml:space="preserve">s theorisation </w:t>
      </w:r>
      <w:r w:rsidR="00593E87" w:rsidRPr="00126B2F">
        <w:rPr>
          <w:rFonts w:cs="Times New Roman"/>
          <w:sz w:val="24"/>
          <w:szCs w:val="24"/>
        </w:rPr>
        <w:t>u</w:t>
      </w:r>
      <w:r w:rsidR="00C24B70" w:rsidRPr="00126B2F">
        <w:rPr>
          <w:rFonts w:cs="Times New Roman"/>
          <w:sz w:val="24"/>
          <w:szCs w:val="24"/>
        </w:rPr>
        <w:t>tilises</w:t>
      </w:r>
      <w:r w:rsidR="00416301" w:rsidRPr="00126B2F">
        <w:rPr>
          <w:rFonts w:cs="Times New Roman"/>
          <w:sz w:val="24"/>
          <w:szCs w:val="24"/>
        </w:rPr>
        <w:t xml:space="preserve"> simplifie</w:t>
      </w:r>
      <w:r w:rsidR="00A95A85" w:rsidRPr="00126B2F">
        <w:rPr>
          <w:rFonts w:cs="Times New Roman"/>
          <w:sz w:val="24"/>
          <w:szCs w:val="24"/>
        </w:rPr>
        <w:t>d</w:t>
      </w:r>
      <w:r w:rsidR="00416301" w:rsidRPr="00126B2F">
        <w:rPr>
          <w:rFonts w:cs="Times New Roman"/>
          <w:sz w:val="24"/>
          <w:szCs w:val="24"/>
        </w:rPr>
        <w:t xml:space="preserve"> </w:t>
      </w:r>
      <w:r w:rsidR="00DD0631" w:rsidRPr="00126B2F">
        <w:rPr>
          <w:rFonts w:cs="Times New Roman"/>
          <w:sz w:val="24"/>
          <w:szCs w:val="24"/>
        </w:rPr>
        <w:t xml:space="preserve">econometric </w:t>
      </w:r>
      <w:r w:rsidR="00A95A85" w:rsidRPr="00126B2F">
        <w:rPr>
          <w:rFonts w:cs="Times New Roman"/>
          <w:sz w:val="24"/>
          <w:szCs w:val="24"/>
        </w:rPr>
        <w:t xml:space="preserve">models of </w:t>
      </w:r>
      <w:r w:rsidR="00416301" w:rsidRPr="00126B2F">
        <w:rPr>
          <w:rFonts w:cs="Times New Roman"/>
          <w:sz w:val="24"/>
          <w:szCs w:val="24"/>
        </w:rPr>
        <w:t>human</w:t>
      </w:r>
      <w:r w:rsidRPr="00126B2F">
        <w:rPr>
          <w:rFonts w:cs="Times New Roman"/>
          <w:sz w:val="24"/>
          <w:szCs w:val="24"/>
        </w:rPr>
        <w:t xml:space="preserve"> behaviour</w:t>
      </w:r>
      <w:r w:rsidR="00A95A85" w:rsidRPr="00126B2F">
        <w:rPr>
          <w:rFonts w:cs="Times New Roman"/>
          <w:sz w:val="24"/>
          <w:szCs w:val="24"/>
        </w:rPr>
        <w:t xml:space="preserve"> which do not </w:t>
      </w:r>
      <w:r w:rsidR="00416301" w:rsidRPr="00126B2F">
        <w:rPr>
          <w:rFonts w:cs="Times New Roman"/>
          <w:sz w:val="24"/>
          <w:szCs w:val="24"/>
        </w:rPr>
        <w:t xml:space="preserve">adequately recognise that agents might use </w:t>
      </w:r>
      <w:r w:rsidR="00C24B70" w:rsidRPr="00126B2F">
        <w:rPr>
          <w:rFonts w:cs="Times New Roman"/>
          <w:sz w:val="24"/>
          <w:szCs w:val="24"/>
        </w:rPr>
        <w:t xml:space="preserve">their asymmetric power </w:t>
      </w:r>
      <w:r w:rsidR="00416301" w:rsidRPr="00126B2F">
        <w:rPr>
          <w:rFonts w:cs="Times New Roman"/>
          <w:sz w:val="24"/>
          <w:szCs w:val="24"/>
        </w:rPr>
        <w:t xml:space="preserve">to </w:t>
      </w:r>
      <w:r w:rsidR="00FF0443" w:rsidRPr="00126B2F">
        <w:rPr>
          <w:rFonts w:cs="Times New Roman"/>
          <w:sz w:val="24"/>
          <w:szCs w:val="24"/>
        </w:rPr>
        <w:t xml:space="preserve">game the system </w:t>
      </w:r>
      <w:r w:rsidR="00C24B70" w:rsidRPr="00126B2F">
        <w:rPr>
          <w:rFonts w:cs="Times New Roman"/>
          <w:sz w:val="24"/>
          <w:szCs w:val="24"/>
        </w:rPr>
        <w:t>to their own advantage</w:t>
      </w:r>
      <w:r w:rsidR="00416301" w:rsidRPr="00126B2F">
        <w:rPr>
          <w:rFonts w:cs="Times New Roman"/>
          <w:sz w:val="24"/>
          <w:szCs w:val="24"/>
        </w:rPr>
        <w:t xml:space="preserve">. By the 1990s, self-serving managerial behaviour </w:t>
      </w:r>
      <w:r w:rsidR="00210FD9" w:rsidRPr="00126B2F">
        <w:rPr>
          <w:rFonts w:cs="Times New Roman"/>
          <w:sz w:val="24"/>
          <w:szCs w:val="24"/>
        </w:rPr>
        <w:t>was widespread</w:t>
      </w:r>
      <w:r w:rsidR="00416301" w:rsidRPr="00126B2F">
        <w:rPr>
          <w:rFonts w:cs="Times New Roman"/>
          <w:sz w:val="24"/>
          <w:szCs w:val="24"/>
        </w:rPr>
        <w:t xml:space="preserve">, </w:t>
      </w:r>
      <w:r w:rsidR="00AB4C43" w:rsidRPr="00126B2F">
        <w:rPr>
          <w:rFonts w:cs="Times New Roman"/>
          <w:sz w:val="24"/>
          <w:szCs w:val="24"/>
        </w:rPr>
        <w:t xml:space="preserve">leading </w:t>
      </w:r>
      <w:r w:rsidR="00416301" w:rsidRPr="00126B2F">
        <w:rPr>
          <w:rFonts w:cs="Times New Roman"/>
          <w:sz w:val="24"/>
          <w:szCs w:val="24"/>
        </w:rPr>
        <w:t xml:space="preserve">shareholders and governments to </w:t>
      </w:r>
      <w:r w:rsidR="009E51D7" w:rsidRPr="00126B2F">
        <w:rPr>
          <w:rFonts w:cs="Times New Roman"/>
          <w:sz w:val="24"/>
          <w:szCs w:val="24"/>
        </w:rPr>
        <w:t>demand</w:t>
      </w:r>
      <w:r w:rsidR="00416301" w:rsidRPr="00126B2F">
        <w:rPr>
          <w:rFonts w:cs="Times New Roman"/>
          <w:sz w:val="24"/>
          <w:szCs w:val="24"/>
        </w:rPr>
        <w:t xml:space="preserve"> </w:t>
      </w:r>
      <w:r w:rsidR="00F62900" w:rsidRPr="00126B2F">
        <w:rPr>
          <w:rFonts w:cs="Times New Roman"/>
          <w:sz w:val="24"/>
          <w:szCs w:val="24"/>
        </w:rPr>
        <w:t xml:space="preserve">a shift towards </w:t>
      </w:r>
      <w:r w:rsidR="00C24B70" w:rsidRPr="00126B2F">
        <w:rPr>
          <w:rFonts w:cs="Times New Roman"/>
          <w:sz w:val="24"/>
          <w:szCs w:val="24"/>
        </w:rPr>
        <w:t xml:space="preserve">greater </w:t>
      </w:r>
      <w:r w:rsidR="00416301" w:rsidRPr="00126B2F">
        <w:rPr>
          <w:rFonts w:cs="Times New Roman"/>
          <w:sz w:val="24"/>
          <w:szCs w:val="24"/>
        </w:rPr>
        <w:t>formal</w:t>
      </w:r>
      <w:r w:rsidR="00F62900" w:rsidRPr="00126B2F">
        <w:rPr>
          <w:rFonts w:cs="Times New Roman"/>
          <w:sz w:val="24"/>
          <w:szCs w:val="24"/>
        </w:rPr>
        <w:t>,</w:t>
      </w:r>
      <w:r w:rsidR="00416301" w:rsidRPr="00126B2F">
        <w:rPr>
          <w:rFonts w:cs="Times New Roman"/>
          <w:sz w:val="24"/>
          <w:szCs w:val="24"/>
        </w:rPr>
        <w:t xml:space="preserve"> endogenous and exogenous </w:t>
      </w:r>
      <w:r w:rsidR="00F62900" w:rsidRPr="00126B2F">
        <w:rPr>
          <w:rFonts w:cs="Times New Roman"/>
          <w:sz w:val="24"/>
          <w:szCs w:val="24"/>
        </w:rPr>
        <w:t xml:space="preserve">surveillance and control </w:t>
      </w:r>
      <w:r w:rsidR="00416301" w:rsidRPr="00126B2F">
        <w:rPr>
          <w:rFonts w:cs="Times New Roman"/>
          <w:sz w:val="24"/>
          <w:szCs w:val="24"/>
        </w:rPr>
        <w:t>me</w:t>
      </w:r>
      <w:r w:rsidR="00FF0443" w:rsidRPr="00126B2F">
        <w:rPr>
          <w:rFonts w:cs="Times New Roman"/>
          <w:sz w:val="24"/>
          <w:szCs w:val="24"/>
        </w:rPr>
        <w:t>asures</w:t>
      </w:r>
      <w:r w:rsidR="00593E87" w:rsidRPr="00126B2F">
        <w:rPr>
          <w:rFonts w:cs="Times New Roman"/>
          <w:sz w:val="24"/>
          <w:szCs w:val="24"/>
        </w:rPr>
        <w:t xml:space="preserve"> such as </w:t>
      </w:r>
      <w:r w:rsidR="00416301" w:rsidRPr="00126B2F">
        <w:rPr>
          <w:rFonts w:cs="Times New Roman"/>
          <w:sz w:val="24"/>
          <w:szCs w:val="24"/>
        </w:rPr>
        <w:t>non-executive directors, remuneration and audit committees, and the strengthening of shareholders’ legal rights</w:t>
      </w:r>
      <w:r w:rsidR="00A85972" w:rsidRPr="00126B2F">
        <w:rPr>
          <w:rFonts w:cs="Times New Roman"/>
          <w:sz w:val="24"/>
          <w:szCs w:val="24"/>
        </w:rPr>
        <w:t xml:space="preserve"> (Cadbury</w:t>
      </w:r>
      <w:r w:rsidR="0085299D" w:rsidRPr="00126B2F">
        <w:rPr>
          <w:rFonts w:cs="Times New Roman"/>
          <w:sz w:val="24"/>
          <w:szCs w:val="24"/>
        </w:rPr>
        <w:t>,</w:t>
      </w:r>
      <w:r w:rsidR="00A85972" w:rsidRPr="00126B2F">
        <w:rPr>
          <w:rFonts w:cs="Times New Roman"/>
          <w:sz w:val="24"/>
          <w:szCs w:val="24"/>
        </w:rPr>
        <w:t xml:space="preserve"> 1992).</w:t>
      </w:r>
      <w:r w:rsidR="00416301" w:rsidRPr="00126B2F">
        <w:rPr>
          <w:rFonts w:cs="Times New Roman"/>
          <w:sz w:val="24"/>
          <w:szCs w:val="24"/>
        </w:rPr>
        <w:t xml:space="preserve"> </w:t>
      </w:r>
      <w:r w:rsidR="00FF0443" w:rsidRPr="00126B2F">
        <w:rPr>
          <w:rFonts w:cs="Times New Roman"/>
          <w:sz w:val="24"/>
          <w:szCs w:val="24"/>
        </w:rPr>
        <w:t xml:space="preserve">The extent to which these have been effective </w:t>
      </w:r>
      <w:r w:rsidR="00F62900" w:rsidRPr="00126B2F">
        <w:rPr>
          <w:rFonts w:cs="Times New Roman"/>
          <w:sz w:val="24"/>
          <w:szCs w:val="24"/>
        </w:rPr>
        <w:t>r</w:t>
      </w:r>
      <w:r w:rsidR="00FF0443" w:rsidRPr="00126B2F">
        <w:rPr>
          <w:rFonts w:cs="Times New Roman"/>
          <w:sz w:val="24"/>
          <w:szCs w:val="24"/>
        </w:rPr>
        <w:t xml:space="preserve">emains moot. </w:t>
      </w:r>
    </w:p>
    <w:p w14:paraId="613C05DE" w14:textId="17F25EDC" w:rsidR="00D22205" w:rsidRPr="00126B2F" w:rsidRDefault="00D22205" w:rsidP="00F7771F">
      <w:pPr>
        <w:spacing w:after="0" w:line="360" w:lineRule="auto"/>
        <w:rPr>
          <w:rFonts w:cs="Times New Roman"/>
          <w:sz w:val="24"/>
          <w:szCs w:val="24"/>
          <w:highlight w:val="yellow"/>
        </w:rPr>
      </w:pPr>
    </w:p>
    <w:p w14:paraId="593EEC68" w14:textId="5E71EDA9" w:rsidR="00DF054E" w:rsidRPr="00126B2F" w:rsidRDefault="00DF054E" w:rsidP="00F7771F">
      <w:pPr>
        <w:spacing w:after="0" w:line="360" w:lineRule="auto"/>
        <w:rPr>
          <w:rFonts w:cs="Times New Roman"/>
          <w:sz w:val="24"/>
          <w:szCs w:val="24"/>
        </w:rPr>
      </w:pPr>
    </w:p>
    <w:p w14:paraId="48866435" w14:textId="70C5F42E" w:rsidR="00593E87" w:rsidRPr="00126B2F" w:rsidRDefault="005308F2" w:rsidP="00F7771F">
      <w:pPr>
        <w:spacing w:after="0" w:line="360" w:lineRule="auto"/>
        <w:rPr>
          <w:rFonts w:cs="Times New Roman"/>
          <w:color w:val="000000"/>
          <w:sz w:val="24"/>
          <w:szCs w:val="24"/>
        </w:rPr>
      </w:pPr>
      <w:r w:rsidRPr="00126B2F">
        <w:rPr>
          <w:rFonts w:cs="Times New Roman"/>
          <w:b/>
          <w:sz w:val="24"/>
          <w:szCs w:val="24"/>
        </w:rPr>
        <w:t>VCs’ remuneration</w:t>
      </w:r>
      <w:r w:rsidR="00A84F4E">
        <w:rPr>
          <w:rFonts w:cs="Times New Roman"/>
          <w:b/>
          <w:sz w:val="24"/>
          <w:szCs w:val="24"/>
        </w:rPr>
        <w:t>—</w:t>
      </w:r>
      <w:r w:rsidR="0018676B" w:rsidRPr="00126B2F">
        <w:rPr>
          <w:rFonts w:cs="Times New Roman"/>
          <w:b/>
          <w:sz w:val="24"/>
          <w:szCs w:val="24"/>
        </w:rPr>
        <w:t>the story so far</w:t>
      </w:r>
      <w:r w:rsidR="00CB21E4" w:rsidRPr="00126B2F">
        <w:rPr>
          <w:rFonts w:cs="Times New Roman"/>
          <w:b/>
          <w:sz w:val="24"/>
          <w:szCs w:val="24"/>
        </w:rPr>
        <w:t xml:space="preserve"> </w:t>
      </w:r>
    </w:p>
    <w:p w14:paraId="34CE6707" w14:textId="04B2170E" w:rsidR="009E748A" w:rsidRPr="00126B2F" w:rsidRDefault="003E5535" w:rsidP="00F7771F">
      <w:pPr>
        <w:autoSpaceDE w:val="0"/>
        <w:autoSpaceDN w:val="0"/>
        <w:adjustRightInd w:val="0"/>
        <w:spacing w:after="0" w:line="360" w:lineRule="auto"/>
        <w:rPr>
          <w:rFonts w:cs="Times New Roman"/>
          <w:sz w:val="24"/>
          <w:szCs w:val="24"/>
          <w:shd w:val="clear" w:color="auto" w:fill="FFFFFF"/>
        </w:rPr>
      </w:pPr>
      <w:r w:rsidRPr="00126B2F">
        <w:rPr>
          <w:rFonts w:cs="Times New Roman"/>
          <w:color w:val="000000"/>
          <w:sz w:val="24"/>
          <w:szCs w:val="24"/>
        </w:rPr>
        <w:t>The</w:t>
      </w:r>
      <w:r w:rsidR="00B23560" w:rsidRPr="00126B2F">
        <w:rPr>
          <w:rFonts w:cs="Times New Roman"/>
          <w:color w:val="000000"/>
          <w:sz w:val="24"/>
          <w:szCs w:val="24"/>
        </w:rPr>
        <w:t>re is ample evidence t</w:t>
      </w:r>
      <w:r w:rsidRPr="00126B2F">
        <w:rPr>
          <w:rFonts w:cs="Times New Roman"/>
          <w:color w:val="000000"/>
          <w:sz w:val="24"/>
          <w:szCs w:val="24"/>
        </w:rPr>
        <w:t xml:space="preserve">hat </w:t>
      </w:r>
      <w:r w:rsidR="005C270D" w:rsidRPr="00126B2F">
        <w:rPr>
          <w:rFonts w:cs="Times New Roman"/>
          <w:color w:val="000000"/>
          <w:sz w:val="24"/>
          <w:szCs w:val="24"/>
        </w:rPr>
        <w:t xml:space="preserve">UK and Australian </w:t>
      </w:r>
      <w:r w:rsidRPr="00126B2F">
        <w:rPr>
          <w:rFonts w:cs="Times New Roman"/>
          <w:color w:val="000000"/>
          <w:sz w:val="24"/>
          <w:szCs w:val="24"/>
        </w:rPr>
        <w:t xml:space="preserve">VCs’ remuneration has been changing rapidly in scale and nature in recent years. </w:t>
      </w:r>
      <w:r w:rsidR="00C24B70" w:rsidRPr="00126B2F">
        <w:rPr>
          <w:rFonts w:cs="Times New Roman"/>
          <w:sz w:val="24"/>
          <w:szCs w:val="24"/>
        </w:rPr>
        <w:t>Using voluntarily disclosed 1993</w:t>
      </w:r>
      <w:r w:rsidR="005358CB">
        <w:rPr>
          <w:rFonts w:cs="Times New Roman"/>
          <w:sz w:val="24"/>
          <w:szCs w:val="24"/>
        </w:rPr>
        <w:t>–</w:t>
      </w:r>
      <w:r w:rsidR="00C24B70" w:rsidRPr="00126B2F">
        <w:rPr>
          <w:rFonts w:cs="Times New Roman"/>
          <w:sz w:val="24"/>
          <w:szCs w:val="24"/>
        </w:rPr>
        <w:t>94 dat</w:t>
      </w:r>
      <w:r w:rsidR="00105168" w:rsidRPr="00126B2F">
        <w:rPr>
          <w:rFonts w:cs="Times New Roman"/>
          <w:sz w:val="24"/>
          <w:szCs w:val="24"/>
        </w:rPr>
        <w:t>a</w:t>
      </w:r>
      <w:r w:rsidR="00C24B70" w:rsidRPr="00126B2F">
        <w:rPr>
          <w:rFonts w:cs="Times New Roman"/>
          <w:sz w:val="24"/>
          <w:szCs w:val="24"/>
        </w:rPr>
        <w:t xml:space="preserve">, </w:t>
      </w:r>
      <w:proofErr w:type="spellStart"/>
      <w:r w:rsidR="00C24B70" w:rsidRPr="00126B2F">
        <w:rPr>
          <w:rFonts w:cs="Times New Roman"/>
          <w:sz w:val="24"/>
          <w:szCs w:val="24"/>
        </w:rPr>
        <w:t>Baimbridge</w:t>
      </w:r>
      <w:proofErr w:type="spellEnd"/>
      <w:r w:rsidR="00C24B70" w:rsidRPr="00126B2F">
        <w:rPr>
          <w:rFonts w:cs="Times New Roman"/>
          <w:sz w:val="24"/>
          <w:szCs w:val="24"/>
        </w:rPr>
        <w:t xml:space="preserve"> and Simpson (1996) report average UK VC remuneration of £93,498.  </w:t>
      </w:r>
      <w:r w:rsidR="009C4A73">
        <w:rPr>
          <w:rFonts w:cs="Times New Roman"/>
          <w:sz w:val="24"/>
          <w:szCs w:val="24"/>
        </w:rPr>
        <w:t xml:space="preserve">In the </w:t>
      </w:r>
      <w:r w:rsidR="005308F2" w:rsidRPr="00126B2F">
        <w:rPr>
          <w:rFonts w:cs="Times New Roman"/>
          <w:color w:val="000000"/>
          <w:sz w:val="24"/>
          <w:szCs w:val="24"/>
        </w:rPr>
        <w:t xml:space="preserve">UK, </w:t>
      </w:r>
      <w:r w:rsidR="005308F2" w:rsidRPr="00126B2F">
        <w:rPr>
          <w:rFonts w:cs="Times New Roman"/>
          <w:sz w:val="24"/>
          <w:szCs w:val="24"/>
        </w:rPr>
        <w:t xml:space="preserve">VCs’ </w:t>
      </w:r>
      <w:r w:rsidR="00B23560" w:rsidRPr="00126B2F">
        <w:rPr>
          <w:rFonts w:cs="Times New Roman"/>
          <w:sz w:val="24"/>
          <w:szCs w:val="24"/>
        </w:rPr>
        <w:t>remuneration</w:t>
      </w:r>
      <w:r w:rsidR="005308F2" w:rsidRPr="00126B2F">
        <w:rPr>
          <w:rFonts w:cs="Times New Roman"/>
          <w:sz w:val="24"/>
          <w:szCs w:val="24"/>
        </w:rPr>
        <w:t xml:space="preserve"> ha</w:t>
      </w:r>
      <w:r w:rsidR="00B23560" w:rsidRPr="00126B2F">
        <w:rPr>
          <w:rFonts w:cs="Times New Roman"/>
          <w:sz w:val="24"/>
          <w:szCs w:val="24"/>
        </w:rPr>
        <w:t>s</w:t>
      </w:r>
      <w:r w:rsidR="005308F2" w:rsidRPr="00126B2F">
        <w:rPr>
          <w:rFonts w:cs="Times New Roman"/>
          <w:sz w:val="24"/>
          <w:szCs w:val="24"/>
        </w:rPr>
        <w:t xml:space="preserve"> had to be d</w:t>
      </w:r>
      <w:r w:rsidR="00AE6F01" w:rsidRPr="00126B2F">
        <w:rPr>
          <w:rFonts w:cs="Times New Roman"/>
          <w:sz w:val="24"/>
          <w:szCs w:val="24"/>
        </w:rPr>
        <w:t xml:space="preserve">isclosed </w:t>
      </w:r>
      <w:r w:rsidR="005308F2" w:rsidRPr="00126B2F">
        <w:rPr>
          <w:rFonts w:cs="Times New Roman"/>
          <w:sz w:val="24"/>
          <w:szCs w:val="24"/>
        </w:rPr>
        <w:t>in universities’ annual reports and accounts since 1994</w:t>
      </w:r>
      <w:r w:rsidR="00C24B70" w:rsidRPr="00126B2F">
        <w:rPr>
          <w:rFonts w:cs="Times New Roman"/>
          <w:sz w:val="24"/>
          <w:szCs w:val="24"/>
        </w:rPr>
        <w:t xml:space="preserve">, and is collated annually by </w:t>
      </w:r>
      <w:r w:rsidR="00B23560" w:rsidRPr="00126B2F">
        <w:rPr>
          <w:rFonts w:cs="Times New Roman"/>
          <w:i/>
          <w:iCs/>
          <w:sz w:val="24"/>
          <w:szCs w:val="24"/>
        </w:rPr>
        <w:t>T</w:t>
      </w:r>
      <w:r w:rsidR="005308F2" w:rsidRPr="00126B2F">
        <w:rPr>
          <w:rFonts w:cs="Times New Roman"/>
          <w:i/>
          <w:sz w:val="24"/>
          <w:szCs w:val="24"/>
        </w:rPr>
        <w:t>he Times Higher</w:t>
      </w:r>
      <w:r w:rsidR="00B23560" w:rsidRPr="00126B2F">
        <w:rPr>
          <w:rFonts w:cs="Times New Roman"/>
          <w:sz w:val="24"/>
          <w:szCs w:val="24"/>
        </w:rPr>
        <w:t xml:space="preserve">. </w:t>
      </w:r>
      <w:r w:rsidR="006E280C" w:rsidRPr="00126B2F">
        <w:rPr>
          <w:rFonts w:cs="Times New Roman"/>
          <w:sz w:val="24"/>
          <w:szCs w:val="24"/>
        </w:rPr>
        <w:t xml:space="preserve">Using this, </w:t>
      </w:r>
      <w:proofErr w:type="spellStart"/>
      <w:r w:rsidR="005308F2" w:rsidRPr="00126B2F">
        <w:rPr>
          <w:rFonts w:cs="Times New Roman"/>
          <w:color w:val="000000"/>
          <w:sz w:val="24"/>
          <w:szCs w:val="24"/>
        </w:rPr>
        <w:t>Bachan</w:t>
      </w:r>
      <w:proofErr w:type="spellEnd"/>
      <w:r w:rsidR="005308F2" w:rsidRPr="00126B2F">
        <w:rPr>
          <w:rFonts w:cs="Times New Roman"/>
          <w:color w:val="000000"/>
          <w:sz w:val="24"/>
          <w:szCs w:val="24"/>
        </w:rPr>
        <w:t xml:space="preserve"> and Reilly (2015) </w:t>
      </w:r>
      <w:r w:rsidR="00670CAC" w:rsidRPr="00126B2F">
        <w:rPr>
          <w:rFonts w:cs="Times New Roman"/>
          <w:sz w:val="24"/>
          <w:szCs w:val="24"/>
        </w:rPr>
        <w:t>f</w:t>
      </w:r>
      <w:r w:rsidR="009C4A73">
        <w:rPr>
          <w:rFonts w:cs="Times New Roman"/>
          <w:sz w:val="24"/>
          <w:szCs w:val="24"/>
        </w:rPr>
        <w:t>ou</w:t>
      </w:r>
      <w:r w:rsidR="00670CAC" w:rsidRPr="00126B2F">
        <w:rPr>
          <w:rFonts w:cs="Times New Roman"/>
          <w:sz w:val="24"/>
          <w:szCs w:val="24"/>
        </w:rPr>
        <w:t xml:space="preserve">nd </w:t>
      </w:r>
      <w:r w:rsidR="005308F2" w:rsidRPr="00126B2F">
        <w:rPr>
          <w:rFonts w:cs="Times New Roman"/>
          <w:sz w:val="24"/>
          <w:szCs w:val="24"/>
        </w:rPr>
        <w:t xml:space="preserve">that VCs enjoyed remuneration growth of </w:t>
      </w:r>
      <w:r w:rsidR="00BE295C" w:rsidRPr="00126B2F">
        <w:rPr>
          <w:rFonts w:cs="Times New Roman"/>
          <w:sz w:val="24"/>
          <w:szCs w:val="24"/>
        </w:rPr>
        <w:t>59</w:t>
      </w:r>
      <w:r w:rsidR="005308F2" w:rsidRPr="00126B2F">
        <w:rPr>
          <w:rFonts w:cs="Times New Roman"/>
          <w:sz w:val="24"/>
          <w:szCs w:val="24"/>
        </w:rPr>
        <w:t>% in real terms from 1997 to 20</w:t>
      </w:r>
      <w:r w:rsidR="00BE295C" w:rsidRPr="00126B2F">
        <w:rPr>
          <w:rFonts w:cs="Times New Roman"/>
          <w:sz w:val="24"/>
          <w:szCs w:val="24"/>
        </w:rPr>
        <w:t>09</w:t>
      </w:r>
      <w:r w:rsidR="00B74B9F" w:rsidRPr="00126B2F">
        <w:rPr>
          <w:rFonts w:cs="Times New Roman"/>
          <w:sz w:val="24"/>
          <w:szCs w:val="24"/>
        </w:rPr>
        <w:t>.</w:t>
      </w:r>
      <w:r w:rsidR="00670CAC" w:rsidRPr="00126B2F">
        <w:rPr>
          <w:rFonts w:cs="Times New Roman"/>
          <w:sz w:val="24"/>
          <w:szCs w:val="24"/>
        </w:rPr>
        <w:t xml:space="preserve"> </w:t>
      </w:r>
      <w:proofErr w:type="spellStart"/>
      <w:r w:rsidR="005308F2" w:rsidRPr="00126B2F">
        <w:rPr>
          <w:rFonts w:cs="Times New Roman"/>
          <w:sz w:val="24"/>
          <w:szCs w:val="24"/>
        </w:rPr>
        <w:t>Gschwandtner</w:t>
      </w:r>
      <w:proofErr w:type="spellEnd"/>
      <w:r w:rsidR="005308F2" w:rsidRPr="00126B2F">
        <w:rPr>
          <w:rFonts w:cs="Times New Roman"/>
          <w:sz w:val="24"/>
          <w:szCs w:val="24"/>
        </w:rPr>
        <w:t xml:space="preserve"> and McManus (2018) also utilise</w:t>
      </w:r>
      <w:r w:rsidR="009C4A73">
        <w:rPr>
          <w:rFonts w:cs="Times New Roman"/>
          <w:sz w:val="24"/>
          <w:szCs w:val="24"/>
        </w:rPr>
        <w:t>d</w:t>
      </w:r>
      <w:r w:rsidR="005308F2" w:rsidRPr="00126B2F">
        <w:rPr>
          <w:rFonts w:cs="Times New Roman"/>
          <w:sz w:val="24"/>
          <w:szCs w:val="24"/>
        </w:rPr>
        <w:t xml:space="preserve"> </w:t>
      </w:r>
      <w:r w:rsidR="00670CAC" w:rsidRPr="00126B2F">
        <w:rPr>
          <w:rFonts w:cs="Times New Roman"/>
          <w:sz w:val="24"/>
          <w:szCs w:val="24"/>
        </w:rPr>
        <w:t xml:space="preserve">this data, </w:t>
      </w:r>
      <w:r w:rsidR="00B74B9F" w:rsidRPr="00126B2F">
        <w:rPr>
          <w:rFonts w:cs="Times New Roman"/>
          <w:sz w:val="24"/>
          <w:szCs w:val="24"/>
        </w:rPr>
        <w:t xml:space="preserve">reporting </w:t>
      </w:r>
      <w:r w:rsidR="00B23560" w:rsidRPr="00126B2F">
        <w:rPr>
          <w:rFonts w:cs="Times New Roman"/>
          <w:sz w:val="24"/>
          <w:szCs w:val="24"/>
        </w:rPr>
        <w:t>that</w:t>
      </w:r>
      <w:r w:rsidR="00B74B9F" w:rsidRPr="00126B2F">
        <w:rPr>
          <w:rFonts w:cs="Times New Roman"/>
          <w:sz w:val="24"/>
          <w:szCs w:val="24"/>
        </w:rPr>
        <w:t>,</w:t>
      </w:r>
      <w:r w:rsidR="00B23560" w:rsidRPr="00126B2F">
        <w:rPr>
          <w:rFonts w:cs="Times New Roman"/>
          <w:sz w:val="24"/>
          <w:szCs w:val="24"/>
        </w:rPr>
        <w:t xml:space="preserve"> between 2007 and 2015</w:t>
      </w:r>
      <w:r w:rsidR="00B74B9F" w:rsidRPr="00126B2F">
        <w:rPr>
          <w:rFonts w:cs="Times New Roman"/>
          <w:sz w:val="24"/>
          <w:szCs w:val="24"/>
        </w:rPr>
        <w:t>,</w:t>
      </w:r>
      <w:r w:rsidR="00B23560" w:rsidRPr="00126B2F">
        <w:rPr>
          <w:rFonts w:cs="Times New Roman"/>
          <w:sz w:val="24"/>
          <w:szCs w:val="24"/>
        </w:rPr>
        <w:t xml:space="preserve"> VC remuneration rose by 20.6% in real terms. </w:t>
      </w:r>
      <w:r w:rsidR="000B147D" w:rsidRPr="00126B2F">
        <w:rPr>
          <w:rFonts w:cs="Times New Roman"/>
          <w:sz w:val="24"/>
          <w:szCs w:val="24"/>
        </w:rPr>
        <w:t xml:space="preserve">Between 2011-12 and 2016-17 </w:t>
      </w:r>
      <w:r w:rsidR="009C4A73">
        <w:rPr>
          <w:rFonts w:cs="Times New Roman"/>
          <w:sz w:val="24"/>
          <w:szCs w:val="24"/>
        </w:rPr>
        <w:t xml:space="preserve">UK </w:t>
      </w:r>
      <w:r w:rsidR="000B147D" w:rsidRPr="00126B2F">
        <w:rPr>
          <w:rFonts w:cs="Times New Roman"/>
          <w:sz w:val="24"/>
          <w:szCs w:val="24"/>
        </w:rPr>
        <w:t>VCs’ remuneration rose by an average of 3.1% a year</w:t>
      </w:r>
      <w:r w:rsidR="009C4A73">
        <w:rPr>
          <w:rFonts w:cs="Times New Roman"/>
          <w:sz w:val="24"/>
          <w:szCs w:val="24"/>
        </w:rPr>
        <w:t>—</w:t>
      </w:r>
      <w:r w:rsidR="000B147D" w:rsidRPr="00126B2F">
        <w:rPr>
          <w:rFonts w:cs="Times New Roman"/>
          <w:sz w:val="24"/>
          <w:szCs w:val="24"/>
        </w:rPr>
        <w:t xml:space="preserve">during which time a 1% pay rise cap applied to academic staff </w:t>
      </w:r>
      <w:r w:rsidR="000B147D" w:rsidRPr="00126B2F">
        <w:rPr>
          <w:rFonts w:cs="Times New Roman"/>
          <w:color w:val="000000"/>
          <w:sz w:val="24"/>
          <w:szCs w:val="24"/>
        </w:rPr>
        <w:t xml:space="preserve">(Hubble </w:t>
      </w:r>
      <w:r w:rsidR="00CF1062">
        <w:rPr>
          <w:rFonts w:cs="Times New Roman"/>
          <w:color w:val="000000"/>
          <w:sz w:val="24"/>
          <w:szCs w:val="24"/>
        </w:rPr>
        <w:t>&amp;</w:t>
      </w:r>
      <w:r w:rsidR="000B147D" w:rsidRPr="00126B2F">
        <w:rPr>
          <w:rFonts w:cs="Times New Roman"/>
          <w:color w:val="000000"/>
          <w:sz w:val="24"/>
          <w:szCs w:val="24"/>
        </w:rPr>
        <w:t xml:space="preserve"> Bolton, 2018)</w:t>
      </w:r>
      <w:r w:rsidR="000B147D" w:rsidRPr="00126B2F">
        <w:rPr>
          <w:rFonts w:cs="Times New Roman"/>
          <w:sz w:val="24"/>
          <w:szCs w:val="24"/>
        </w:rPr>
        <w:t xml:space="preserve">. </w:t>
      </w:r>
      <w:r w:rsidR="00E52C20" w:rsidRPr="00126B2F">
        <w:rPr>
          <w:rFonts w:cs="Times New Roman"/>
          <w:sz w:val="24"/>
          <w:szCs w:val="24"/>
        </w:rPr>
        <w:t>A</w:t>
      </w:r>
      <w:r w:rsidR="005308F2" w:rsidRPr="00126B2F">
        <w:rPr>
          <w:rFonts w:cs="Times New Roman"/>
          <w:sz w:val="24"/>
          <w:szCs w:val="24"/>
        </w:rPr>
        <w:t>verages can be misleading because of the marked variation in size and nature of UK universities</w:t>
      </w:r>
      <w:r w:rsidR="009E748A" w:rsidRPr="00126B2F">
        <w:rPr>
          <w:rFonts w:cs="Times New Roman"/>
          <w:sz w:val="24"/>
          <w:szCs w:val="24"/>
        </w:rPr>
        <w:t>, but in 2018-19 at British universities with income over £3</w:t>
      </w:r>
      <w:r w:rsidR="00942328" w:rsidRPr="00126B2F">
        <w:rPr>
          <w:rFonts w:cs="Times New Roman"/>
          <w:sz w:val="24"/>
          <w:szCs w:val="24"/>
        </w:rPr>
        <w:t>0</w:t>
      </w:r>
      <w:r w:rsidR="009E748A" w:rsidRPr="00126B2F">
        <w:rPr>
          <w:rFonts w:cs="Times New Roman"/>
          <w:sz w:val="24"/>
          <w:szCs w:val="24"/>
        </w:rPr>
        <w:t xml:space="preserve"> million a year, the average VC remuneration was £281,550 [AUD</w:t>
      </w:r>
      <w:r w:rsidR="006E280C" w:rsidRPr="00126B2F">
        <w:rPr>
          <w:rFonts w:cs="Times New Roman"/>
          <w:sz w:val="24"/>
          <w:szCs w:val="24"/>
        </w:rPr>
        <w:t xml:space="preserve"> </w:t>
      </w:r>
      <w:r w:rsidR="009E748A" w:rsidRPr="00126B2F">
        <w:rPr>
          <w:rFonts w:cs="Times New Roman"/>
          <w:sz w:val="24"/>
          <w:szCs w:val="24"/>
        </w:rPr>
        <w:t>530,</w:t>
      </w:r>
      <w:r w:rsidR="00D519E3">
        <w:rPr>
          <w:rFonts w:cs="Times New Roman"/>
          <w:sz w:val="24"/>
          <w:szCs w:val="24"/>
        </w:rPr>
        <w:t>182</w:t>
      </w:r>
      <w:r w:rsidR="009E748A" w:rsidRPr="00126B2F">
        <w:rPr>
          <w:rFonts w:cs="Times New Roman"/>
          <w:sz w:val="24"/>
          <w:szCs w:val="24"/>
        </w:rPr>
        <w:t>]</w:t>
      </w:r>
      <w:r w:rsidR="00942328" w:rsidRPr="00126B2F">
        <w:rPr>
          <w:rFonts w:cs="Times New Roman"/>
          <w:sz w:val="24"/>
          <w:szCs w:val="24"/>
        </w:rPr>
        <w:t>, with the highest being London Business School at £609,000 [AUD 1.1</w:t>
      </w:r>
      <w:r w:rsidR="00D519E3">
        <w:rPr>
          <w:rFonts w:cs="Times New Roman"/>
          <w:sz w:val="24"/>
          <w:szCs w:val="24"/>
        </w:rPr>
        <w:t>0</w:t>
      </w:r>
      <w:r w:rsidR="00942328" w:rsidRPr="00126B2F">
        <w:rPr>
          <w:rFonts w:cs="Times New Roman"/>
          <w:sz w:val="24"/>
          <w:szCs w:val="24"/>
        </w:rPr>
        <w:t xml:space="preserve"> million]</w:t>
      </w:r>
      <w:r w:rsidR="009E748A" w:rsidRPr="00126B2F">
        <w:rPr>
          <w:rFonts w:cs="Times New Roman"/>
          <w:sz w:val="24"/>
          <w:szCs w:val="24"/>
        </w:rPr>
        <w:t xml:space="preserve"> (HESA, undated). </w:t>
      </w:r>
    </w:p>
    <w:p w14:paraId="20D12B60" w14:textId="77777777" w:rsidR="000C0427" w:rsidRPr="00126B2F" w:rsidRDefault="000C0427" w:rsidP="00F7771F">
      <w:pPr>
        <w:autoSpaceDE w:val="0"/>
        <w:autoSpaceDN w:val="0"/>
        <w:adjustRightInd w:val="0"/>
        <w:spacing w:after="0" w:line="360" w:lineRule="auto"/>
        <w:rPr>
          <w:rFonts w:cs="Times New Roman"/>
          <w:color w:val="000000"/>
          <w:sz w:val="24"/>
          <w:szCs w:val="24"/>
        </w:rPr>
      </w:pPr>
    </w:p>
    <w:p w14:paraId="484016EE" w14:textId="58F65833" w:rsidR="009B1065" w:rsidRDefault="005308F2" w:rsidP="00F7771F">
      <w:pPr>
        <w:autoSpaceDE w:val="0"/>
        <w:autoSpaceDN w:val="0"/>
        <w:adjustRightInd w:val="0"/>
        <w:spacing w:after="0" w:line="360" w:lineRule="auto"/>
        <w:rPr>
          <w:rFonts w:cs="Times New Roman"/>
          <w:sz w:val="24"/>
          <w:szCs w:val="24"/>
        </w:rPr>
      </w:pPr>
      <w:r w:rsidRPr="00126B2F">
        <w:rPr>
          <w:rFonts w:cs="Times New Roman"/>
          <w:color w:val="000000"/>
          <w:sz w:val="24"/>
          <w:szCs w:val="24"/>
        </w:rPr>
        <w:t>Australia</w:t>
      </w:r>
      <w:r w:rsidR="00942328" w:rsidRPr="00126B2F">
        <w:rPr>
          <w:rFonts w:cs="Times New Roman"/>
          <w:color w:val="000000"/>
          <w:sz w:val="24"/>
          <w:szCs w:val="24"/>
        </w:rPr>
        <w:t xml:space="preserve"> has no </w:t>
      </w:r>
      <w:r w:rsidR="005C270D" w:rsidRPr="00126B2F">
        <w:rPr>
          <w:rFonts w:cs="Times New Roman"/>
          <w:color w:val="000000"/>
          <w:sz w:val="24"/>
          <w:szCs w:val="24"/>
        </w:rPr>
        <w:t xml:space="preserve">comparable </w:t>
      </w:r>
      <w:r w:rsidR="00942328" w:rsidRPr="00126B2F">
        <w:rPr>
          <w:rFonts w:cs="Times New Roman"/>
          <w:color w:val="000000"/>
          <w:sz w:val="24"/>
          <w:szCs w:val="24"/>
        </w:rPr>
        <w:t>d</w:t>
      </w:r>
      <w:r w:rsidRPr="00126B2F">
        <w:rPr>
          <w:rFonts w:cs="Times New Roman"/>
          <w:color w:val="000000"/>
          <w:sz w:val="24"/>
          <w:szCs w:val="24"/>
        </w:rPr>
        <w:t>at</w:t>
      </w:r>
      <w:r w:rsidR="00DB059A" w:rsidRPr="00126B2F">
        <w:rPr>
          <w:rFonts w:cs="Times New Roman"/>
          <w:color w:val="000000"/>
          <w:sz w:val="24"/>
          <w:szCs w:val="24"/>
        </w:rPr>
        <w:t xml:space="preserve">a set </w:t>
      </w:r>
      <w:r w:rsidR="009E748A" w:rsidRPr="00126B2F">
        <w:rPr>
          <w:rFonts w:cs="Times New Roman"/>
          <w:color w:val="000000"/>
          <w:sz w:val="24"/>
          <w:szCs w:val="24"/>
        </w:rPr>
        <w:t xml:space="preserve">or </w:t>
      </w:r>
      <w:r w:rsidR="00DB059A" w:rsidRPr="00126B2F">
        <w:rPr>
          <w:rFonts w:cs="Times New Roman"/>
          <w:color w:val="000000"/>
          <w:sz w:val="24"/>
          <w:szCs w:val="24"/>
        </w:rPr>
        <w:t>consequent analysis</w:t>
      </w:r>
      <w:r w:rsidR="009C4A73">
        <w:rPr>
          <w:rFonts w:cs="Times New Roman"/>
          <w:color w:val="000000"/>
          <w:sz w:val="24"/>
          <w:szCs w:val="24"/>
        </w:rPr>
        <w:t>; h</w:t>
      </w:r>
      <w:r w:rsidR="00DB059A" w:rsidRPr="00126B2F">
        <w:rPr>
          <w:rFonts w:cs="Times New Roman"/>
          <w:color w:val="000000"/>
          <w:sz w:val="24"/>
          <w:szCs w:val="24"/>
        </w:rPr>
        <w:t xml:space="preserve">owever, </w:t>
      </w:r>
      <w:r w:rsidR="009E748A" w:rsidRPr="00126B2F">
        <w:rPr>
          <w:rFonts w:cs="Times New Roman"/>
          <w:color w:val="000000"/>
          <w:sz w:val="24"/>
          <w:szCs w:val="24"/>
        </w:rPr>
        <w:t xml:space="preserve">annual </w:t>
      </w:r>
      <w:r w:rsidRPr="00126B2F">
        <w:rPr>
          <w:rFonts w:cs="Times New Roman"/>
          <w:color w:val="000000"/>
          <w:sz w:val="24"/>
          <w:szCs w:val="24"/>
        </w:rPr>
        <w:t>rises are dutifully reported in the press</w:t>
      </w:r>
      <w:r w:rsidR="00B74B9F" w:rsidRPr="00126B2F">
        <w:rPr>
          <w:rFonts w:cs="Times New Roman"/>
          <w:color w:val="000000"/>
          <w:sz w:val="24"/>
          <w:szCs w:val="24"/>
        </w:rPr>
        <w:t xml:space="preserve">. </w:t>
      </w:r>
      <w:r w:rsidR="001A7427" w:rsidRPr="00126B2F">
        <w:rPr>
          <w:rFonts w:cs="Times New Roman"/>
          <w:color w:val="000000"/>
          <w:sz w:val="24"/>
          <w:szCs w:val="24"/>
        </w:rPr>
        <w:t>At the time of writing w</w:t>
      </w:r>
      <w:r w:rsidR="008864D4" w:rsidRPr="00126B2F">
        <w:rPr>
          <w:rFonts w:cs="Times New Roman"/>
          <w:color w:val="000000"/>
          <w:sz w:val="24"/>
          <w:szCs w:val="24"/>
        </w:rPr>
        <w:t xml:space="preserve">hen 2019 university financial </w:t>
      </w:r>
      <w:r w:rsidR="008864D4" w:rsidRPr="00126B2F">
        <w:rPr>
          <w:rFonts w:cs="Times New Roman"/>
          <w:color w:val="000000"/>
          <w:sz w:val="24"/>
          <w:szCs w:val="24"/>
        </w:rPr>
        <w:lastRenderedPageBreak/>
        <w:t xml:space="preserve">accounts were </w:t>
      </w:r>
      <w:r w:rsidR="001A7427" w:rsidRPr="00126B2F">
        <w:rPr>
          <w:rFonts w:cs="Times New Roman"/>
          <w:color w:val="000000"/>
          <w:sz w:val="24"/>
          <w:szCs w:val="24"/>
        </w:rPr>
        <w:t xml:space="preserve">beginning to be </w:t>
      </w:r>
      <w:r w:rsidR="008864D4" w:rsidRPr="00126B2F">
        <w:rPr>
          <w:rFonts w:cs="Times New Roman"/>
          <w:color w:val="000000"/>
          <w:sz w:val="24"/>
          <w:szCs w:val="24"/>
        </w:rPr>
        <w:t>reported</w:t>
      </w:r>
      <w:r w:rsidR="009C4A73">
        <w:rPr>
          <w:rFonts w:cs="Times New Roman"/>
          <w:color w:val="000000"/>
          <w:sz w:val="24"/>
          <w:szCs w:val="24"/>
        </w:rPr>
        <w:t>,</w:t>
      </w:r>
      <w:r w:rsidR="008864D4" w:rsidRPr="00126B2F">
        <w:rPr>
          <w:rFonts w:cs="Times New Roman"/>
          <w:color w:val="000000"/>
          <w:sz w:val="24"/>
          <w:szCs w:val="24"/>
        </w:rPr>
        <w:t xml:space="preserve"> it was noted that the </w:t>
      </w:r>
      <w:r w:rsidR="005C381B">
        <w:rPr>
          <w:rFonts w:cs="Times New Roman"/>
          <w:color w:val="000000"/>
          <w:sz w:val="24"/>
          <w:szCs w:val="24"/>
        </w:rPr>
        <w:t xml:space="preserve">2019 </w:t>
      </w:r>
      <w:r w:rsidR="008864D4" w:rsidRPr="00126B2F">
        <w:rPr>
          <w:rFonts w:cs="Times New Roman"/>
          <w:color w:val="000000"/>
          <w:sz w:val="24"/>
          <w:szCs w:val="24"/>
        </w:rPr>
        <w:t xml:space="preserve">average for Australian </w:t>
      </w:r>
      <w:proofErr w:type="gramStart"/>
      <w:r w:rsidR="008864D4" w:rsidRPr="00126B2F">
        <w:rPr>
          <w:rFonts w:cs="Times New Roman"/>
          <w:color w:val="000000"/>
          <w:sz w:val="24"/>
          <w:szCs w:val="24"/>
        </w:rPr>
        <w:t>vice-chancellors’</w:t>
      </w:r>
      <w:proofErr w:type="gramEnd"/>
      <w:r w:rsidR="008864D4" w:rsidRPr="00126B2F">
        <w:rPr>
          <w:rFonts w:cs="Times New Roman"/>
          <w:color w:val="000000"/>
          <w:sz w:val="24"/>
          <w:szCs w:val="24"/>
        </w:rPr>
        <w:t xml:space="preserve"> remuneration may well have exceeded </w:t>
      </w:r>
      <w:r w:rsidR="009C4A73">
        <w:rPr>
          <w:rFonts w:cs="Times New Roman"/>
          <w:color w:val="000000"/>
          <w:sz w:val="24"/>
          <w:szCs w:val="24"/>
        </w:rPr>
        <w:t xml:space="preserve">AUD </w:t>
      </w:r>
      <w:r w:rsidR="008864D4" w:rsidRPr="00126B2F">
        <w:rPr>
          <w:rFonts w:cs="Times New Roman"/>
          <w:color w:val="000000"/>
          <w:sz w:val="24"/>
          <w:szCs w:val="24"/>
        </w:rPr>
        <w:t xml:space="preserve">$1m </w:t>
      </w:r>
      <w:r w:rsidR="009C4A73">
        <w:rPr>
          <w:rFonts w:cs="Times New Roman"/>
          <w:color w:val="000000"/>
          <w:sz w:val="24"/>
          <w:szCs w:val="24"/>
        </w:rPr>
        <w:t>[£</w:t>
      </w:r>
      <w:r w:rsidR="00A95121">
        <w:rPr>
          <w:rFonts w:cs="Times New Roman"/>
          <w:color w:val="000000"/>
          <w:sz w:val="24"/>
          <w:szCs w:val="24"/>
        </w:rPr>
        <w:t>609</w:t>
      </w:r>
      <w:r w:rsidR="009C4A73">
        <w:rPr>
          <w:rFonts w:cs="Times New Roman"/>
          <w:color w:val="000000"/>
          <w:sz w:val="24"/>
          <w:szCs w:val="24"/>
        </w:rPr>
        <w:t>,</w:t>
      </w:r>
      <w:r w:rsidR="00A95121">
        <w:rPr>
          <w:rFonts w:cs="Times New Roman"/>
          <w:color w:val="000000"/>
          <w:sz w:val="24"/>
          <w:szCs w:val="24"/>
        </w:rPr>
        <w:t>000</w:t>
      </w:r>
      <w:r w:rsidR="009C4A73">
        <w:rPr>
          <w:rFonts w:cs="Times New Roman"/>
          <w:color w:val="000000"/>
          <w:sz w:val="24"/>
          <w:szCs w:val="24"/>
        </w:rPr>
        <w:t>]</w:t>
      </w:r>
      <w:r w:rsidR="005C381B">
        <w:rPr>
          <w:rFonts w:cs="Times New Roman"/>
          <w:color w:val="000000"/>
          <w:sz w:val="24"/>
          <w:szCs w:val="24"/>
        </w:rPr>
        <w:t xml:space="preserve"> </w:t>
      </w:r>
      <w:r w:rsidR="008864D4" w:rsidRPr="00126B2F">
        <w:rPr>
          <w:rFonts w:cs="Times New Roman"/>
          <w:color w:val="000000"/>
          <w:sz w:val="24"/>
          <w:szCs w:val="24"/>
        </w:rPr>
        <w:t>(Ross, 2020)</w:t>
      </w:r>
      <w:r w:rsidR="001A7427" w:rsidRPr="00126B2F">
        <w:rPr>
          <w:rFonts w:cs="Times New Roman"/>
          <w:color w:val="000000"/>
          <w:sz w:val="24"/>
          <w:szCs w:val="24"/>
        </w:rPr>
        <w:t xml:space="preserve">. </w:t>
      </w:r>
      <w:r w:rsidR="009B1065" w:rsidRPr="00126B2F">
        <w:rPr>
          <w:rFonts w:cs="Times New Roman"/>
          <w:color w:val="000000"/>
          <w:sz w:val="24"/>
          <w:szCs w:val="24"/>
        </w:rPr>
        <w:t>The Australian National Tertiary Education Union (NTEU) argue</w:t>
      </w:r>
      <w:r w:rsidR="007C3902" w:rsidRPr="00126B2F">
        <w:rPr>
          <w:rFonts w:cs="Times New Roman"/>
          <w:color w:val="000000"/>
          <w:sz w:val="24"/>
          <w:szCs w:val="24"/>
        </w:rPr>
        <w:t>d</w:t>
      </w:r>
      <w:r w:rsidR="009B1065" w:rsidRPr="00126B2F">
        <w:rPr>
          <w:rFonts w:cs="Times New Roman"/>
          <w:color w:val="000000"/>
          <w:sz w:val="24"/>
          <w:szCs w:val="24"/>
        </w:rPr>
        <w:t xml:space="preserve"> that Australian VCs </w:t>
      </w:r>
      <w:r w:rsidR="007C3902" w:rsidRPr="00126B2F">
        <w:rPr>
          <w:rFonts w:cs="Times New Roman"/>
          <w:color w:val="000000"/>
          <w:sz w:val="24"/>
          <w:szCs w:val="24"/>
        </w:rPr>
        <w:t>were</w:t>
      </w:r>
      <w:r w:rsidR="009B1065" w:rsidRPr="00126B2F">
        <w:rPr>
          <w:rFonts w:cs="Times New Roman"/>
          <w:color w:val="000000"/>
          <w:sz w:val="24"/>
          <w:szCs w:val="24"/>
        </w:rPr>
        <w:t xml:space="preserve"> the highest paid in the world</w:t>
      </w:r>
      <w:r w:rsidR="009B1065" w:rsidRPr="00126B2F">
        <w:rPr>
          <w:rFonts w:cs="Times New Roman"/>
          <w:color w:val="FF0000"/>
          <w:sz w:val="24"/>
          <w:szCs w:val="24"/>
        </w:rPr>
        <w:t xml:space="preserve"> </w:t>
      </w:r>
      <w:r w:rsidR="009B1065" w:rsidRPr="00126B2F">
        <w:rPr>
          <w:rFonts w:cs="Times New Roman"/>
          <w:color w:val="000000"/>
          <w:sz w:val="24"/>
          <w:szCs w:val="24"/>
        </w:rPr>
        <w:t xml:space="preserve">(Kniest, 2017). </w:t>
      </w:r>
      <w:r w:rsidR="00635806" w:rsidRPr="00126B2F">
        <w:rPr>
          <w:rFonts w:cs="Times New Roman"/>
          <w:color w:val="000000"/>
          <w:sz w:val="24"/>
          <w:szCs w:val="24"/>
        </w:rPr>
        <w:t xml:space="preserve">Universities’ 2018 annual reports and financial statements reveal that VCs’ salaries ranged from </w:t>
      </w:r>
      <w:r w:rsidR="001A7427" w:rsidRPr="00126B2F">
        <w:rPr>
          <w:rFonts w:cs="Times New Roman"/>
          <w:color w:val="000000"/>
          <w:sz w:val="24"/>
          <w:szCs w:val="24"/>
        </w:rPr>
        <w:t>AUD $1,582,50</w:t>
      </w:r>
      <w:r w:rsidR="005C381B">
        <w:rPr>
          <w:rFonts w:cs="Times New Roman"/>
          <w:color w:val="000000"/>
          <w:sz w:val="24"/>
          <w:szCs w:val="24"/>
        </w:rPr>
        <w:t>0</w:t>
      </w:r>
      <w:r w:rsidR="001A7427" w:rsidRPr="00126B2F">
        <w:rPr>
          <w:rFonts w:cs="Times New Roman"/>
          <w:color w:val="000000"/>
          <w:sz w:val="24"/>
          <w:szCs w:val="24"/>
        </w:rPr>
        <w:t xml:space="preserve"> </w:t>
      </w:r>
      <w:r w:rsidR="009C4A73">
        <w:rPr>
          <w:rFonts w:cs="Times New Roman"/>
          <w:color w:val="000000"/>
          <w:sz w:val="24"/>
          <w:szCs w:val="24"/>
        </w:rPr>
        <w:t>[</w:t>
      </w:r>
      <w:r w:rsidR="005C381B">
        <w:rPr>
          <w:rFonts w:cs="Times New Roman"/>
          <w:color w:val="000000"/>
          <w:sz w:val="24"/>
          <w:szCs w:val="24"/>
        </w:rPr>
        <w:t>£8</w:t>
      </w:r>
      <w:r w:rsidR="00A95121">
        <w:rPr>
          <w:rFonts w:cs="Times New Roman"/>
          <w:color w:val="000000"/>
          <w:sz w:val="24"/>
          <w:szCs w:val="24"/>
        </w:rPr>
        <w:t>67</w:t>
      </w:r>
      <w:r w:rsidR="005C381B">
        <w:rPr>
          <w:rFonts w:cs="Times New Roman"/>
          <w:color w:val="000000"/>
          <w:sz w:val="24"/>
          <w:szCs w:val="24"/>
        </w:rPr>
        <w:t>,</w:t>
      </w:r>
      <w:r w:rsidR="00A95121">
        <w:rPr>
          <w:rFonts w:cs="Times New Roman"/>
          <w:color w:val="000000"/>
          <w:sz w:val="24"/>
          <w:szCs w:val="24"/>
        </w:rPr>
        <w:t>998</w:t>
      </w:r>
      <w:r w:rsidR="005C381B">
        <w:rPr>
          <w:rFonts w:cs="Times New Roman"/>
          <w:color w:val="000000"/>
          <w:sz w:val="24"/>
          <w:szCs w:val="24"/>
        </w:rPr>
        <w:t xml:space="preserve">] </w:t>
      </w:r>
      <w:r w:rsidR="001A7427" w:rsidRPr="00126B2F">
        <w:rPr>
          <w:rFonts w:cs="Times New Roman"/>
          <w:color w:val="000000"/>
          <w:sz w:val="24"/>
          <w:szCs w:val="24"/>
        </w:rPr>
        <w:t xml:space="preserve">at the University of Sydney to AUD $622,250 </w:t>
      </w:r>
      <w:r w:rsidR="005C381B">
        <w:rPr>
          <w:rFonts w:cs="Times New Roman"/>
          <w:color w:val="000000"/>
          <w:sz w:val="24"/>
          <w:szCs w:val="24"/>
        </w:rPr>
        <w:t>[£34</w:t>
      </w:r>
      <w:r w:rsidR="00A95121">
        <w:rPr>
          <w:rFonts w:cs="Times New Roman"/>
          <w:color w:val="000000"/>
          <w:sz w:val="24"/>
          <w:szCs w:val="24"/>
        </w:rPr>
        <w:t>1</w:t>
      </w:r>
      <w:r w:rsidR="005C381B">
        <w:rPr>
          <w:rFonts w:cs="Times New Roman"/>
          <w:color w:val="000000"/>
          <w:sz w:val="24"/>
          <w:szCs w:val="24"/>
        </w:rPr>
        <w:t>,</w:t>
      </w:r>
      <w:r w:rsidR="00A95121">
        <w:rPr>
          <w:rFonts w:cs="Times New Roman"/>
          <w:color w:val="000000"/>
          <w:sz w:val="24"/>
          <w:szCs w:val="24"/>
        </w:rPr>
        <w:t>302</w:t>
      </w:r>
      <w:r w:rsidR="005C381B">
        <w:rPr>
          <w:rFonts w:cs="Times New Roman"/>
          <w:color w:val="000000"/>
          <w:sz w:val="24"/>
          <w:szCs w:val="24"/>
        </w:rPr>
        <w:t xml:space="preserve">] </w:t>
      </w:r>
      <w:r w:rsidR="001A7427" w:rsidRPr="00126B2F">
        <w:rPr>
          <w:rFonts w:cs="Times New Roman"/>
          <w:color w:val="000000"/>
          <w:sz w:val="24"/>
          <w:szCs w:val="24"/>
        </w:rPr>
        <w:t xml:space="preserve">at Charles Darwin University. </w:t>
      </w:r>
      <w:r w:rsidR="009B1065" w:rsidRPr="00126B2F">
        <w:rPr>
          <w:rFonts w:cs="Times New Roman"/>
          <w:color w:val="000000"/>
          <w:sz w:val="24"/>
          <w:szCs w:val="24"/>
        </w:rPr>
        <w:t xml:space="preserve">More prestigious universities </w:t>
      </w:r>
      <w:r w:rsidR="00BE0671" w:rsidRPr="00126B2F">
        <w:rPr>
          <w:rFonts w:cs="Times New Roman"/>
          <w:color w:val="000000"/>
          <w:sz w:val="24"/>
          <w:szCs w:val="24"/>
        </w:rPr>
        <w:t>generally</w:t>
      </w:r>
      <w:r w:rsidR="009B1065" w:rsidRPr="00126B2F">
        <w:rPr>
          <w:rFonts w:cs="Times New Roman"/>
          <w:color w:val="000000"/>
          <w:sz w:val="24"/>
          <w:szCs w:val="24"/>
        </w:rPr>
        <w:t xml:space="preserve"> pa</w:t>
      </w:r>
      <w:r w:rsidR="00BE0671" w:rsidRPr="00126B2F">
        <w:rPr>
          <w:rFonts w:cs="Times New Roman"/>
          <w:color w:val="000000"/>
          <w:sz w:val="24"/>
          <w:szCs w:val="24"/>
        </w:rPr>
        <w:t>id</w:t>
      </w:r>
      <w:r w:rsidR="009B1065" w:rsidRPr="00126B2F">
        <w:rPr>
          <w:rFonts w:cs="Times New Roman"/>
          <w:color w:val="000000"/>
          <w:sz w:val="24"/>
          <w:szCs w:val="24"/>
        </w:rPr>
        <w:t xml:space="preserve"> their VCs more, but </w:t>
      </w:r>
      <w:r w:rsidR="00BE0671" w:rsidRPr="00126B2F">
        <w:rPr>
          <w:rFonts w:cs="Times New Roman"/>
          <w:color w:val="000000"/>
          <w:sz w:val="24"/>
          <w:szCs w:val="24"/>
        </w:rPr>
        <w:t>this</w:t>
      </w:r>
      <w:r w:rsidR="007C3902" w:rsidRPr="00126B2F">
        <w:rPr>
          <w:rFonts w:cs="Times New Roman"/>
          <w:color w:val="000000"/>
          <w:sz w:val="24"/>
          <w:szCs w:val="24"/>
        </w:rPr>
        <w:t xml:space="preserve"> was</w:t>
      </w:r>
      <w:r w:rsidR="009B1065" w:rsidRPr="00126B2F">
        <w:rPr>
          <w:rFonts w:cs="Times New Roman"/>
          <w:color w:val="000000"/>
          <w:sz w:val="24"/>
          <w:szCs w:val="24"/>
        </w:rPr>
        <w:t xml:space="preserve"> not universal. For example, in 201</w:t>
      </w:r>
      <w:r w:rsidR="001A7427" w:rsidRPr="00126B2F">
        <w:rPr>
          <w:rFonts w:cs="Times New Roman"/>
          <w:color w:val="000000"/>
          <w:sz w:val="24"/>
          <w:szCs w:val="24"/>
        </w:rPr>
        <w:t>8</w:t>
      </w:r>
      <w:r w:rsidR="009B1065" w:rsidRPr="00126B2F">
        <w:rPr>
          <w:rFonts w:cs="Times New Roman"/>
          <w:color w:val="000000"/>
          <w:sz w:val="24"/>
          <w:szCs w:val="24"/>
        </w:rPr>
        <w:t xml:space="preserve"> the Australian Catholic University’s VC was paid AUD </w:t>
      </w:r>
      <w:r w:rsidR="001A7427" w:rsidRPr="00126B2F">
        <w:rPr>
          <w:rFonts w:cs="Times New Roman"/>
          <w:color w:val="000000"/>
          <w:sz w:val="24"/>
          <w:szCs w:val="24"/>
        </w:rPr>
        <w:t>$1,325,000</w:t>
      </w:r>
      <w:r w:rsidR="001A7427" w:rsidRPr="00126B2F" w:rsidDel="001A7427">
        <w:rPr>
          <w:rFonts w:cs="Times New Roman"/>
          <w:color w:val="000000"/>
          <w:sz w:val="24"/>
          <w:szCs w:val="24"/>
        </w:rPr>
        <w:t xml:space="preserve"> </w:t>
      </w:r>
      <w:r w:rsidR="005C381B">
        <w:rPr>
          <w:rFonts w:cs="Times New Roman"/>
          <w:color w:val="000000"/>
          <w:sz w:val="24"/>
          <w:szCs w:val="24"/>
        </w:rPr>
        <w:t>[</w:t>
      </w:r>
      <w:r w:rsidR="009B1065" w:rsidRPr="00126B2F">
        <w:rPr>
          <w:rFonts w:cs="Times New Roman"/>
          <w:color w:val="000000"/>
          <w:sz w:val="24"/>
          <w:szCs w:val="24"/>
        </w:rPr>
        <w:t>£</w:t>
      </w:r>
      <w:r w:rsidR="005C381B">
        <w:rPr>
          <w:rFonts w:cs="Times New Roman"/>
          <w:color w:val="000000"/>
          <w:sz w:val="24"/>
          <w:szCs w:val="24"/>
        </w:rPr>
        <w:t>7</w:t>
      </w:r>
      <w:r w:rsidR="00A95121">
        <w:rPr>
          <w:rFonts w:cs="Times New Roman"/>
          <w:color w:val="000000"/>
          <w:sz w:val="24"/>
          <w:szCs w:val="24"/>
        </w:rPr>
        <w:t>26</w:t>
      </w:r>
      <w:r w:rsidR="005358CB">
        <w:rPr>
          <w:rFonts w:cs="Times New Roman"/>
          <w:color w:val="000000"/>
          <w:sz w:val="24"/>
          <w:szCs w:val="24"/>
        </w:rPr>
        <w:t>,</w:t>
      </w:r>
      <w:r w:rsidR="00A95121">
        <w:rPr>
          <w:rFonts w:cs="Times New Roman"/>
          <w:color w:val="000000"/>
          <w:sz w:val="24"/>
          <w:szCs w:val="24"/>
        </w:rPr>
        <w:t>633</w:t>
      </w:r>
      <w:r w:rsidR="009B1065" w:rsidRPr="00126B2F">
        <w:rPr>
          <w:rFonts w:cs="Times New Roman"/>
          <w:color w:val="000000"/>
          <w:sz w:val="24"/>
          <w:szCs w:val="24"/>
        </w:rPr>
        <w:t>,000</w:t>
      </w:r>
      <w:r w:rsidR="005C381B">
        <w:rPr>
          <w:rFonts w:cs="Times New Roman"/>
          <w:color w:val="000000"/>
          <w:sz w:val="24"/>
          <w:szCs w:val="24"/>
        </w:rPr>
        <w:t>]</w:t>
      </w:r>
      <w:r w:rsidR="009B1065" w:rsidRPr="00126B2F">
        <w:rPr>
          <w:rFonts w:cs="Times New Roman"/>
          <w:color w:val="000000"/>
          <w:sz w:val="24"/>
          <w:szCs w:val="24"/>
        </w:rPr>
        <w:t xml:space="preserve">, exceeding the salaries </w:t>
      </w:r>
      <w:r w:rsidR="005C381B">
        <w:rPr>
          <w:rFonts w:cs="Times New Roman"/>
          <w:color w:val="000000"/>
          <w:sz w:val="24"/>
          <w:szCs w:val="24"/>
        </w:rPr>
        <w:t>at</w:t>
      </w:r>
      <w:r w:rsidR="009B1065" w:rsidRPr="00126B2F">
        <w:rPr>
          <w:rFonts w:cs="Times New Roman"/>
          <w:color w:val="000000"/>
          <w:sz w:val="24"/>
          <w:szCs w:val="24"/>
        </w:rPr>
        <w:t xml:space="preserve"> </w:t>
      </w:r>
      <w:r w:rsidR="001F3383" w:rsidRPr="00126B2F">
        <w:rPr>
          <w:rFonts w:cs="Times New Roman"/>
          <w:color w:val="000000"/>
          <w:sz w:val="24"/>
          <w:szCs w:val="24"/>
        </w:rPr>
        <w:t xml:space="preserve">some </w:t>
      </w:r>
      <w:r w:rsidR="009B1065" w:rsidRPr="00126B2F">
        <w:rPr>
          <w:rFonts w:cs="Times New Roman"/>
          <w:color w:val="000000"/>
          <w:sz w:val="24"/>
          <w:szCs w:val="24"/>
        </w:rPr>
        <w:t>more prestigious universities</w:t>
      </w:r>
      <w:r w:rsidR="001A7427" w:rsidRPr="00126B2F">
        <w:rPr>
          <w:rFonts w:cs="Times New Roman"/>
          <w:color w:val="000000"/>
          <w:sz w:val="24"/>
          <w:szCs w:val="24"/>
        </w:rPr>
        <w:t>.</w:t>
      </w:r>
    </w:p>
    <w:p w14:paraId="1F5AC248" w14:textId="77777777" w:rsidR="00F7771F" w:rsidRPr="00F7771F" w:rsidRDefault="00F7771F" w:rsidP="00F7771F">
      <w:pPr>
        <w:autoSpaceDE w:val="0"/>
        <w:autoSpaceDN w:val="0"/>
        <w:adjustRightInd w:val="0"/>
        <w:spacing w:after="0" w:line="360" w:lineRule="auto"/>
        <w:rPr>
          <w:rFonts w:cs="Times New Roman"/>
          <w:sz w:val="24"/>
          <w:szCs w:val="24"/>
        </w:rPr>
      </w:pPr>
    </w:p>
    <w:p w14:paraId="54E0B67C" w14:textId="4A903337" w:rsidR="00F7771F" w:rsidRDefault="00C80417" w:rsidP="00F7771F">
      <w:pPr>
        <w:autoSpaceDE w:val="0"/>
        <w:autoSpaceDN w:val="0"/>
        <w:adjustRightInd w:val="0"/>
        <w:spacing w:after="0" w:line="360" w:lineRule="auto"/>
        <w:rPr>
          <w:rFonts w:cs="Times New Roman"/>
          <w:color w:val="000000"/>
          <w:sz w:val="24"/>
          <w:szCs w:val="24"/>
        </w:rPr>
      </w:pPr>
      <w:r w:rsidRPr="00126B2F">
        <w:rPr>
          <w:rFonts w:cs="Times New Roman"/>
          <w:sz w:val="24"/>
          <w:szCs w:val="24"/>
        </w:rPr>
        <w:t>Whilst a</w:t>
      </w:r>
      <w:r w:rsidR="00B74B9F" w:rsidRPr="00126B2F">
        <w:rPr>
          <w:rFonts w:cs="Times New Roman"/>
          <w:sz w:val="24"/>
          <w:szCs w:val="24"/>
        </w:rPr>
        <w:t>gency theory posits a strong correlation between performance and pay</w:t>
      </w:r>
      <w:r w:rsidRPr="00126B2F">
        <w:rPr>
          <w:rFonts w:cs="Times New Roman"/>
          <w:sz w:val="24"/>
          <w:szCs w:val="24"/>
        </w:rPr>
        <w:t xml:space="preserve">, </w:t>
      </w:r>
      <w:r w:rsidR="00AF5917">
        <w:rPr>
          <w:rFonts w:cs="Times New Roman"/>
          <w:sz w:val="24"/>
          <w:szCs w:val="24"/>
        </w:rPr>
        <w:t xml:space="preserve">empirical </w:t>
      </w:r>
      <w:r w:rsidRPr="00126B2F">
        <w:rPr>
          <w:rFonts w:cs="Times New Roman"/>
          <w:sz w:val="24"/>
          <w:szCs w:val="24"/>
        </w:rPr>
        <w:t>r</w:t>
      </w:r>
      <w:r w:rsidR="00E52C20" w:rsidRPr="00126B2F">
        <w:rPr>
          <w:rFonts w:cs="Times New Roman"/>
          <w:sz w:val="24"/>
          <w:szCs w:val="24"/>
        </w:rPr>
        <w:t>esearch has demonstrated</w:t>
      </w:r>
      <w:r w:rsidR="00BE0196" w:rsidRPr="00126B2F">
        <w:rPr>
          <w:rFonts w:cs="Times New Roman"/>
          <w:sz w:val="24"/>
          <w:szCs w:val="24"/>
        </w:rPr>
        <w:t xml:space="preserve"> only a weak relationship </w:t>
      </w:r>
      <w:r w:rsidR="005308F2" w:rsidRPr="00126B2F">
        <w:rPr>
          <w:rFonts w:cs="Times New Roman"/>
          <w:color w:val="000000"/>
          <w:sz w:val="24"/>
          <w:szCs w:val="24"/>
        </w:rPr>
        <w:t xml:space="preserve">between </w:t>
      </w:r>
      <w:r w:rsidR="00C92C4E" w:rsidRPr="00126B2F">
        <w:rPr>
          <w:rFonts w:cs="Times New Roman"/>
          <w:color w:val="000000"/>
          <w:sz w:val="24"/>
          <w:szCs w:val="24"/>
        </w:rPr>
        <w:t xml:space="preserve">corporate </w:t>
      </w:r>
      <w:r w:rsidR="005C270D" w:rsidRPr="00126B2F">
        <w:rPr>
          <w:rFonts w:cs="Times New Roman"/>
          <w:color w:val="000000"/>
          <w:sz w:val="24"/>
          <w:szCs w:val="24"/>
        </w:rPr>
        <w:t xml:space="preserve">executive </w:t>
      </w:r>
      <w:r w:rsidR="005308F2" w:rsidRPr="00126B2F">
        <w:rPr>
          <w:rFonts w:cs="Times New Roman"/>
          <w:color w:val="000000"/>
          <w:sz w:val="24"/>
          <w:szCs w:val="24"/>
        </w:rPr>
        <w:t>pay and organisational performance (</w:t>
      </w:r>
      <w:r w:rsidR="00BE0196" w:rsidRPr="00126B2F">
        <w:rPr>
          <w:rFonts w:cs="Times New Roman"/>
          <w:color w:val="000000"/>
          <w:sz w:val="24"/>
          <w:szCs w:val="24"/>
        </w:rPr>
        <w:t>e.g.</w:t>
      </w:r>
      <w:r w:rsidR="005308F2" w:rsidRPr="00126B2F">
        <w:rPr>
          <w:rFonts w:cs="Times New Roman"/>
          <w:color w:val="000000"/>
          <w:sz w:val="24"/>
          <w:szCs w:val="24"/>
        </w:rPr>
        <w:t xml:space="preserve"> </w:t>
      </w:r>
      <w:proofErr w:type="spellStart"/>
      <w:r w:rsidR="005308F2" w:rsidRPr="00126B2F">
        <w:rPr>
          <w:rFonts w:cs="Times New Roman"/>
          <w:color w:val="000000"/>
          <w:sz w:val="24"/>
          <w:szCs w:val="24"/>
        </w:rPr>
        <w:t>Gritsko</w:t>
      </w:r>
      <w:proofErr w:type="spellEnd"/>
      <w:r w:rsidR="005308F2" w:rsidRPr="00126B2F">
        <w:rPr>
          <w:rFonts w:cs="Times New Roman"/>
          <w:color w:val="000000"/>
          <w:sz w:val="24"/>
          <w:szCs w:val="24"/>
        </w:rPr>
        <w:t xml:space="preserve">, </w:t>
      </w:r>
      <w:proofErr w:type="spellStart"/>
      <w:r w:rsidR="005308F2" w:rsidRPr="00126B2F">
        <w:rPr>
          <w:rFonts w:cs="Times New Roman"/>
          <w:color w:val="000000"/>
          <w:sz w:val="24"/>
          <w:szCs w:val="24"/>
        </w:rPr>
        <w:t>Kozlova</w:t>
      </w:r>
      <w:proofErr w:type="spellEnd"/>
      <w:r w:rsidR="005308F2" w:rsidRPr="00126B2F">
        <w:rPr>
          <w:rFonts w:cs="Times New Roman"/>
          <w:color w:val="000000"/>
          <w:sz w:val="24"/>
          <w:szCs w:val="24"/>
        </w:rPr>
        <w:t>, Neilson, &amp; Wichmann</w:t>
      </w:r>
      <w:r w:rsidR="00BE0196" w:rsidRPr="00126B2F">
        <w:rPr>
          <w:rFonts w:cs="Times New Roman"/>
          <w:color w:val="000000"/>
          <w:sz w:val="24"/>
          <w:szCs w:val="24"/>
        </w:rPr>
        <w:t>,</w:t>
      </w:r>
      <w:r w:rsidR="005308F2" w:rsidRPr="00126B2F">
        <w:rPr>
          <w:rFonts w:cs="Times New Roman"/>
          <w:color w:val="000000"/>
          <w:sz w:val="24"/>
          <w:szCs w:val="24"/>
        </w:rPr>
        <w:t xml:space="preserve"> 2013; Marshall</w:t>
      </w:r>
      <w:r w:rsidR="00BE0196" w:rsidRPr="00126B2F">
        <w:rPr>
          <w:rFonts w:cs="Times New Roman"/>
          <w:color w:val="000000"/>
          <w:sz w:val="24"/>
          <w:szCs w:val="24"/>
        </w:rPr>
        <w:t>,</w:t>
      </w:r>
      <w:r w:rsidR="005308F2" w:rsidRPr="00126B2F">
        <w:rPr>
          <w:rFonts w:cs="Times New Roman"/>
          <w:color w:val="000000"/>
          <w:sz w:val="24"/>
          <w:szCs w:val="24"/>
        </w:rPr>
        <w:t xml:space="preserve"> 2017). </w:t>
      </w:r>
      <w:r w:rsidR="00BE0196" w:rsidRPr="00126B2F">
        <w:rPr>
          <w:rFonts w:cs="Times New Roman"/>
          <w:color w:val="000000"/>
          <w:sz w:val="24"/>
          <w:szCs w:val="24"/>
        </w:rPr>
        <w:t xml:space="preserve">There are a small number </w:t>
      </w:r>
      <w:r w:rsidR="00AF71E0" w:rsidRPr="00126B2F">
        <w:rPr>
          <w:rFonts w:cs="Times New Roman"/>
          <w:color w:val="000000"/>
          <w:sz w:val="24"/>
          <w:szCs w:val="24"/>
        </w:rPr>
        <w:t>o</w:t>
      </w:r>
      <w:r w:rsidR="00BE0196" w:rsidRPr="00126B2F">
        <w:rPr>
          <w:rFonts w:cs="Times New Roman"/>
          <w:color w:val="000000"/>
          <w:sz w:val="24"/>
          <w:szCs w:val="24"/>
        </w:rPr>
        <w:t>f parallel studies of universities.</w:t>
      </w:r>
      <w:r w:rsidR="00DB059A" w:rsidRPr="00126B2F">
        <w:rPr>
          <w:rFonts w:cs="Times New Roman"/>
          <w:sz w:val="24"/>
          <w:szCs w:val="24"/>
        </w:rPr>
        <w:t xml:space="preserve"> </w:t>
      </w:r>
      <w:r w:rsidR="005308F2" w:rsidRPr="00126B2F">
        <w:rPr>
          <w:rFonts w:cs="Times New Roman"/>
          <w:color w:val="000000"/>
          <w:sz w:val="24"/>
          <w:szCs w:val="24"/>
        </w:rPr>
        <w:t xml:space="preserve">In </w:t>
      </w:r>
      <w:r w:rsidR="00BE0196" w:rsidRPr="00126B2F">
        <w:rPr>
          <w:rFonts w:cs="Times New Roman"/>
          <w:color w:val="000000"/>
          <w:sz w:val="24"/>
          <w:szCs w:val="24"/>
        </w:rPr>
        <w:t xml:space="preserve">the </w:t>
      </w:r>
      <w:r w:rsidR="005308F2" w:rsidRPr="00126B2F">
        <w:rPr>
          <w:rFonts w:cs="Times New Roman"/>
          <w:color w:val="000000"/>
          <w:sz w:val="24"/>
          <w:szCs w:val="24"/>
        </w:rPr>
        <w:t xml:space="preserve">US, Cheng (2014) found that between 2004 and 2009 institutional performance played a very limited role in determining public university </w:t>
      </w:r>
      <w:r w:rsidR="007E4711" w:rsidRPr="00126B2F">
        <w:rPr>
          <w:rFonts w:cs="Times New Roman"/>
          <w:color w:val="000000"/>
          <w:sz w:val="24"/>
          <w:szCs w:val="24"/>
        </w:rPr>
        <w:t xml:space="preserve">VCs’ </w:t>
      </w:r>
      <w:r w:rsidR="005308F2" w:rsidRPr="00126B2F">
        <w:rPr>
          <w:rFonts w:cs="Times New Roman"/>
          <w:color w:val="000000"/>
          <w:sz w:val="24"/>
          <w:szCs w:val="24"/>
        </w:rPr>
        <w:t xml:space="preserve">remuneration. </w:t>
      </w:r>
      <w:r w:rsidR="00BE0196" w:rsidRPr="00126B2F">
        <w:rPr>
          <w:rFonts w:cs="Times New Roman"/>
          <w:color w:val="000000"/>
          <w:sz w:val="24"/>
          <w:szCs w:val="24"/>
        </w:rPr>
        <w:t xml:space="preserve">In Canada </w:t>
      </w:r>
      <w:r w:rsidR="005308F2" w:rsidRPr="00126B2F">
        <w:rPr>
          <w:rFonts w:cs="Times New Roman"/>
          <w:color w:val="000000"/>
          <w:sz w:val="24"/>
          <w:szCs w:val="24"/>
        </w:rPr>
        <w:t>between 1996 and 2006, increases in VC salaries exceeded both productivity and performance gains (</w:t>
      </w:r>
      <w:proofErr w:type="spellStart"/>
      <w:r w:rsidR="005308F2" w:rsidRPr="00126B2F">
        <w:rPr>
          <w:rFonts w:cs="Times New Roman"/>
          <w:color w:val="000000"/>
          <w:sz w:val="24"/>
          <w:szCs w:val="24"/>
        </w:rPr>
        <w:t>Essaji</w:t>
      </w:r>
      <w:proofErr w:type="spellEnd"/>
      <w:r w:rsidR="005308F2" w:rsidRPr="00126B2F">
        <w:rPr>
          <w:rFonts w:cs="Times New Roman"/>
          <w:color w:val="000000"/>
          <w:sz w:val="24"/>
          <w:szCs w:val="24"/>
        </w:rPr>
        <w:t xml:space="preserve"> &amp; Horton</w:t>
      </w:r>
      <w:r w:rsidR="00BE0196" w:rsidRPr="00126B2F">
        <w:rPr>
          <w:rFonts w:cs="Times New Roman"/>
          <w:color w:val="000000"/>
          <w:sz w:val="24"/>
          <w:szCs w:val="24"/>
        </w:rPr>
        <w:t>,</w:t>
      </w:r>
      <w:r w:rsidR="005308F2" w:rsidRPr="00126B2F">
        <w:rPr>
          <w:rFonts w:cs="Times New Roman"/>
          <w:color w:val="000000"/>
          <w:sz w:val="24"/>
          <w:szCs w:val="24"/>
        </w:rPr>
        <w:t xml:space="preserve"> 2009). </w:t>
      </w:r>
    </w:p>
    <w:p w14:paraId="7894A5C6" w14:textId="77777777" w:rsidR="00F7771F" w:rsidRDefault="00F7771F" w:rsidP="00F7771F">
      <w:pPr>
        <w:autoSpaceDE w:val="0"/>
        <w:autoSpaceDN w:val="0"/>
        <w:adjustRightInd w:val="0"/>
        <w:spacing w:after="0" w:line="360" w:lineRule="auto"/>
        <w:rPr>
          <w:rFonts w:cs="Times New Roman"/>
          <w:color w:val="000000"/>
          <w:sz w:val="24"/>
          <w:szCs w:val="24"/>
        </w:rPr>
      </w:pPr>
    </w:p>
    <w:p w14:paraId="72363ED8" w14:textId="4BC5A696" w:rsidR="005308F2" w:rsidRPr="00126B2F" w:rsidRDefault="005308F2" w:rsidP="00F7771F">
      <w:pPr>
        <w:autoSpaceDE w:val="0"/>
        <w:autoSpaceDN w:val="0"/>
        <w:adjustRightInd w:val="0"/>
        <w:spacing w:after="0" w:line="360" w:lineRule="auto"/>
        <w:rPr>
          <w:rFonts w:cs="Times New Roman"/>
          <w:color w:val="000000"/>
          <w:sz w:val="24"/>
          <w:szCs w:val="24"/>
        </w:rPr>
      </w:pPr>
      <w:r w:rsidRPr="00126B2F">
        <w:rPr>
          <w:rFonts w:cs="Times New Roman"/>
          <w:color w:val="000000"/>
          <w:sz w:val="24"/>
          <w:szCs w:val="24"/>
        </w:rPr>
        <w:t xml:space="preserve">In </w:t>
      </w:r>
      <w:r w:rsidR="00210B2D" w:rsidRPr="00126B2F">
        <w:rPr>
          <w:rFonts w:cs="Times New Roman"/>
          <w:color w:val="000000"/>
          <w:sz w:val="24"/>
          <w:szCs w:val="24"/>
        </w:rPr>
        <w:t>their</w:t>
      </w:r>
      <w:r w:rsidRPr="00126B2F">
        <w:rPr>
          <w:rFonts w:cs="Times New Roman"/>
          <w:color w:val="000000"/>
          <w:sz w:val="24"/>
          <w:szCs w:val="24"/>
        </w:rPr>
        <w:t xml:space="preserve"> comprehensive analysis over 10 years </w:t>
      </w:r>
      <w:r w:rsidR="00210B2D" w:rsidRPr="00126B2F">
        <w:rPr>
          <w:rFonts w:cs="Times New Roman"/>
          <w:color w:val="000000"/>
          <w:sz w:val="24"/>
          <w:szCs w:val="24"/>
        </w:rPr>
        <w:t xml:space="preserve">involving </w:t>
      </w:r>
      <w:r w:rsidRPr="00126B2F">
        <w:rPr>
          <w:rFonts w:cs="Times New Roman"/>
          <w:color w:val="000000"/>
          <w:sz w:val="24"/>
          <w:szCs w:val="24"/>
        </w:rPr>
        <w:t>performance indicators relating to student numbers, student evaluations, research and financial perform</w:t>
      </w:r>
      <w:r w:rsidR="00DB059A" w:rsidRPr="00126B2F">
        <w:rPr>
          <w:rFonts w:cs="Times New Roman"/>
          <w:color w:val="000000"/>
          <w:sz w:val="24"/>
          <w:szCs w:val="24"/>
        </w:rPr>
        <w:t>ance,</w:t>
      </w:r>
      <w:r w:rsidR="00C80417" w:rsidRPr="00126B2F">
        <w:rPr>
          <w:rFonts w:cs="Times New Roman"/>
          <w:color w:val="000000"/>
          <w:sz w:val="24"/>
          <w:szCs w:val="24"/>
        </w:rPr>
        <w:t xml:space="preserve"> </w:t>
      </w:r>
      <w:proofErr w:type="spellStart"/>
      <w:r w:rsidR="00DB059A" w:rsidRPr="00126B2F">
        <w:rPr>
          <w:rFonts w:cs="Times New Roman"/>
          <w:color w:val="000000"/>
          <w:sz w:val="24"/>
          <w:szCs w:val="24"/>
        </w:rPr>
        <w:t>Gschwandtner</w:t>
      </w:r>
      <w:proofErr w:type="spellEnd"/>
      <w:r w:rsidR="00DB059A" w:rsidRPr="00126B2F">
        <w:rPr>
          <w:rFonts w:cs="Times New Roman"/>
          <w:color w:val="000000"/>
          <w:sz w:val="24"/>
          <w:szCs w:val="24"/>
        </w:rPr>
        <w:t xml:space="preserve"> and McManus </w:t>
      </w:r>
      <w:r w:rsidRPr="00126B2F">
        <w:rPr>
          <w:rFonts w:cs="Times New Roman"/>
          <w:color w:val="000000"/>
          <w:sz w:val="24"/>
          <w:szCs w:val="24"/>
        </w:rPr>
        <w:t xml:space="preserve">(2018) found </w:t>
      </w:r>
      <w:r w:rsidR="00210B2D" w:rsidRPr="00126B2F">
        <w:rPr>
          <w:rFonts w:cs="Times New Roman"/>
          <w:color w:val="000000"/>
          <w:sz w:val="24"/>
          <w:szCs w:val="24"/>
        </w:rPr>
        <w:t xml:space="preserve">neither </w:t>
      </w:r>
      <w:r w:rsidRPr="00126B2F">
        <w:rPr>
          <w:rFonts w:cs="Times New Roman"/>
          <w:color w:val="000000"/>
          <w:sz w:val="24"/>
          <w:szCs w:val="24"/>
        </w:rPr>
        <w:t xml:space="preserve">VCs’ </w:t>
      </w:r>
      <w:r w:rsidR="00210B2D" w:rsidRPr="00126B2F">
        <w:rPr>
          <w:rFonts w:cs="Times New Roman"/>
          <w:color w:val="000000"/>
          <w:sz w:val="24"/>
          <w:szCs w:val="24"/>
        </w:rPr>
        <w:t xml:space="preserve">nor </w:t>
      </w:r>
      <w:r w:rsidRPr="00126B2F">
        <w:rPr>
          <w:rFonts w:cs="Times New Roman"/>
          <w:color w:val="000000"/>
          <w:sz w:val="24"/>
          <w:szCs w:val="24"/>
        </w:rPr>
        <w:t xml:space="preserve">universities’ performance can explain </w:t>
      </w:r>
      <w:r w:rsidR="00210B2D" w:rsidRPr="00126B2F">
        <w:rPr>
          <w:rFonts w:cs="Times New Roman"/>
          <w:color w:val="000000"/>
          <w:sz w:val="24"/>
          <w:szCs w:val="24"/>
        </w:rPr>
        <w:t xml:space="preserve">the </w:t>
      </w:r>
      <w:r w:rsidRPr="00126B2F">
        <w:rPr>
          <w:rFonts w:cs="Times New Roman"/>
          <w:color w:val="000000"/>
          <w:sz w:val="24"/>
          <w:szCs w:val="24"/>
        </w:rPr>
        <w:t>increases in VCs’ salaries</w:t>
      </w:r>
      <w:r w:rsidR="00210B2D" w:rsidRPr="00126B2F">
        <w:rPr>
          <w:rFonts w:cs="Times New Roman"/>
          <w:color w:val="000000"/>
          <w:sz w:val="24"/>
          <w:szCs w:val="24"/>
        </w:rPr>
        <w:t>,</w:t>
      </w:r>
      <w:r w:rsidR="00BE0196" w:rsidRPr="00126B2F">
        <w:rPr>
          <w:rFonts w:cs="Times New Roman"/>
          <w:color w:val="000000"/>
          <w:sz w:val="24"/>
          <w:szCs w:val="24"/>
        </w:rPr>
        <w:t xml:space="preserve"> and that </w:t>
      </w:r>
      <w:r w:rsidRPr="00126B2F">
        <w:rPr>
          <w:rFonts w:cs="Times New Roman"/>
          <w:sz w:val="24"/>
          <w:szCs w:val="24"/>
        </w:rPr>
        <w:t xml:space="preserve">higher pay </w:t>
      </w:r>
      <w:r w:rsidR="007E4711" w:rsidRPr="00126B2F">
        <w:rPr>
          <w:rFonts w:cs="Times New Roman"/>
          <w:sz w:val="24"/>
          <w:szCs w:val="24"/>
        </w:rPr>
        <w:t xml:space="preserve">does </w:t>
      </w:r>
      <w:r w:rsidRPr="00126B2F">
        <w:rPr>
          <w:rFonts w:cs="Times New Roman"/>
          <w:sz w:val="24"/>
          <w:szCs w:val="24"/>
        </w:rPr>
        <w:t xml:space="preserve">not lead to higher performance. </w:t>
      </w:r>
      <w:proofErr w:type="spellStart"/>
      <w:r w:rsidRPr="00126B2F">
        <w:rPr>
          <w:rFonts w:cs="Times New Roman"/>
          <w:color w:val="000000"/>
          <w:sz w:val="24"/>
          <w:szCs w:val="24"/>
        </w:rPr>
        <w:t>Bachan</w:t>
      </w:r>
      <w:proofErr w:type="spellEnd"/>
      <w:r w:rsidRPr="00126B2F">
        <w:rPr>
          <w:rFonts w:cs="Times New Roman"/>
          <w:color w:val="000000"/>
          <w:sz w:val="24"/>
          <w:szCs w:val="24"/>
        </w:rPr>
        <w:t xml:space="preserve"> and Reilly found little evidence that university performance accounted for UK VCs’ remun</w:t>
      </w:r>
      <w:r w:rsidR="002F2CF6" w:rsidRPr="00126B2F">
        <w:rPr>
          <w:rFonts w:cs="Times New Roman"/>
          <w:color w:val="000000"/>
          <w:sz w:val="24"/>
          <w:szCs w:val="24"/>
        </w:rPr>
        <w:t>eration levels, concluding that</w:t>
      </w:r>
      <w:r w:rsidR="00370EE7" w:rsidRPr="00126B2F">
        <w:rPr>
          <w:rFonts w:cs="Times New Roman"/>
          <w:color w:val="000000"/>
          <w:sz w:val="24"/>
          <w:szCs w:val="24"/>
        </w:rPr>
        <w:t>:</w:t>
      </w:r>
    </w:p>
    <w:p w14:paraId="31018684" w14:textId="77777777" w:rsidR="00886048" w:rsidRPr="00126B2F" w:rsidRDefault="00886048" w:rsidP="00F7771F">
      <w:pPr>
        <w:autoSpaceDE w:val="0"/>
        <w:autoSpaceDN w:val="0"/>
        <w:adjustRightInd w:val="0"/>
        <w:spacing w:after="0" w:line="360" w:lineRule="auto"/>
        <w:rPr>
          <w:rFonts w:cs="Times New Roman"/>
          <w:color w:val="000000"/>
          <w:sz w:val="24"/>
          <w:szCs w:val="24"/>
        </w:rPr>
      </w:pPr>
    </w:p>
    <w:p w14:paraId="2615E5A6" w14:textId="4F5789A8" w:rsidR="005308F2" w:rsidRDefault="005308F2" w:rsidP="00F7771F">
      <w:pPr>
        <w:spacing w:after="0" w:line="360" w:lineRule="auto"/>
        <w:ind w:left="720"/>
        <w:rPr>
          <w:rFonts w:cs="Times New Roman"/>
          <w:color w:val="000000"/>
          <w:sz w:val="24"/>
          <w:szCs w:val="24"/>
        </w:rPr>
      </w:pPr>
      <w:r w:rsidRPr="00126B2F">
        <w:rPr>
          <w:rFonts w:cs="Times New Roman"/>
          <w:sz w:val="24"/>
          <w:szCs w:val="24"/>
        </w:rPr>
        <w:t>It may be the case</w:t>
      </w:r>
      <w:r w:rsidR="00BE0196" w:rsidRPr="00126B2F">
        <w:rPr>
          <w:rFonts w:cs="Times New Roman"/>
          <w:sz w:val="24"/>
          <w:szCs w:val="24"/>
        </w:rPr>
        <w:t>…</w:t>
      </w:r>
      <w:r w:rsidRPr="00126B2F">
        <w:rPr>
          <w:rFonts w:cs="Times New Roman"/>
          <w:sz w:val="24"/>
          <w:szCs w:val="24"/>
        </w:rPr>
        <w:t xml:space="preserve"> that VC pay is more merited than some of the harsher public criticism suggests. However, there is evidence from the estimated year effects that even after controlling for </w:t>
      </w:r>
      <w:r w:rsidR="00370EE7" w:rsidRPr="00126B2F">
        <w:rPr>
          <w:rFonts w:cs="Times New Roman"/>
          <w:sz w:val="24"/>
          <w:szCs w:val="24"/>
        </w:rPr>
        <w:t>…</w:t>
      </w:r>
      <w:r w:rsidRPr="00126B2F">
        <w:rPr>
          <w:rFonts w:cs="Times New Roman"/>
          <w:sz w:val="24"/>
          <w:szCs w:val="24"/>
        </w:rPr>
        <w:t xml:space="preserve"> observable and unobservable factors, there have been sizeable annual increases in real VC pay in the years covered by our analysis that are not readily explainable. </w:t>
      </w:r>
      <w:r w:rsidR="00F7771F">
        <w:rPr>
          <w:rFonts w:cs="Times New Roman"/>
          <w:sz w:val="24"/>
          <w:szCs w:val="24"/>
        </w:rPr>
        <w:t>(</w:t>
      </w:r>
      <w:proofErr w:type="spellStart"/>
      <w:r w:rsidR="00F7771F" w:rsidRPr="00126B2F">
        <w:rPr>
          <w:rFonts w:cs="Times New Roman"/>
          <w:color w:val="000000"/>
          <w:sz w:val="24"/>
          <w:szCs w:val="24"/>
        </w:rPr>
        <w:t>Bachan</w:t>
      </w:r>
      <w:proofErr w:type="spellEnd"/>
      <w:r w:rsidR="00F7771F" w:rsidRPr="00126B2F">
        <w:rPr>
          <w:rFonts w:cs="Times New Roman"/>
          <w:color w:val="000000"/>
          <w:sz w:val="24"/>
          <w:szCs w:val="24"/>
        </w:rPr>
        <w:t xml:space="preserve"> </w:t>
      </w:r>
      <w:r w:rsidR="00F7771F">
        <w:rPr>
          <w:rFonts w:cs="Times New Roman"/>
          <w:color w:val="000000"/>
          <w:sz w:val="24"/>
          <w:szCs w:val="24"/>
        </w:rPr>
        <w:t xml:space="preserve">&amp; </w:t>
      </w:r>
      <w:r w:rsidR="00F7771F" w:rsidRPr="00126B2F">
        <w:rPr>
          <w:rFonts w:cs="Times New Roman"/>
          <w:color w:val="000000"/>
          <w:sz w:val="24"/>
          <w:szCs w:val="24"/>
        </w:rPr>
        <w:t>Reilly</w:t>
      </w:r>
      <w:r w:rsidR="00F7771F">
        <w:rPr>
          <w:rFonts w:cs="Times New Roman"/>
          <w:color w:val="000000"/>
          <w:sz w:val="24"/>
          <w:szCs w:val="24"/>
        </w:rPr>
        <w:t xml:space="preserve">, </w:t>
      </w:r>
      <w:r w:rsidR="00F7771F" w:rsidRPr="00126B2F">
        <w:rPr>
          <w:rFonts w:cs="Times New Roman"/>
          <w:color w:val="000000"/>
          <w:sz w:val="24"/>
          <w:szCs w:val="24"/>
        </w:rPr>
        <w:t>2015. p.</w:t>
      </w:r>
      <w:r w:rsidR="00F7771F">
        <w:rPr>
          <w:rFonts w:cs="Times New Roman"/>
          <w:color w:val="000000"/>
          <w:sz w:val="24"/>
          <w:szCs w:val="24"/>
        </w:rPr>
        <w:t xml:space="preserve"> </w:t>
      </w:r>
      <w:r w:rsidR="00F7771F" w:rsidRPr="00126B2F">
        <w:rPr>
          <w:rFonts w:cs="Times New Roman"/>
          <w:color w:val="000000"/>
          <w:sz w:val="24"/>
          <w:szCs w:val="24"/>
        </w:rPr>
        <w:t>70</w:t>
      </w:r>
      <w:r w:rsidR="00F7771F">
        <w:rPr>
          <w:rFonts w:cs="Times New Roman"/>
          <w:color w:val="000000"/>
          <w:sz w:val="24"/>
          <w:szCs w:val="24"/>
        </w:rPr>
        <w:t>)</w:t>
      </w:r>
    </w:p>
    <w:p w14:paraId="6C48C8DF" w14:textId="77777777" w:rsidR="00F7771F" w:rsidRPr="00126B2F" w:rsidRDefault="00F7771F" w:rsidP="00F7771F">
      <w:pPr>
        <w:spacing w:after="0" w:line="360" w:lineRule="auto"/>
        <w:ind w:left="720"/>
        <w:rPr>
          <w:rFonts w:cs="Times New Roman"/>
          <w:sz w:val="24"/>
          <w:szCs w:val="24"/>
        </w:rPr>
      </w:pPr>
    </w:p>
    <w:p w14:paraId="03D0D1E0" w14:textId="310D8555" w:rsidR="00F7771F" w:rsidRDefault="00B74B9F" w:rsidP="00F7771F">
      <w:pPr>
        <w:spacing w:after="0" w:line="360" w:lineRule="auto"/>
        <w:rPr>
          <w:rFonts w:cs="Times New Roman"/>
          <w:color w:val="000000"/>
          <w:sz w:val="24"/>
          <w:szCs w:val="24"/>
        </w:rPr>
      </w:pPr>
      <w:r w:rsidRPr="00126B2F">
        <w:rPr>
          <w:rFonts w:cs="Times New Roman"/>
          <w:color w:val="000000"/>
          <w:sz w:val="24"/>
          <w:szCs w:val="24"/>
        </w:rPr>
        <w:lastRenderedPageBreak/>
        <w:t xml:space="preserve">In 2019, </w:t>
      </w:r>
      <w:proofErr w:type="spellStart"/>
      <w:r w:rsidRPr="00126B2F">
        <w:rPr>
          <w:rFonts w:cs="Times New Roman"/>
          <w:color w:val="000000"/>
          <w:sz w:val="24"/>
          <w:szCs w:val="24"/>
        </w:rPr>
        <w:t>Johnes</w:t>
      </w:r>
      <w:proofErr w:type="spellEnd"/>
      <w:r w:rsidRPr="00126B2F">
        <w:rPr>
          <w:rFonts w:cs="Times New Roman"/>
          <w:color w:val="000000"/>
          <w:sz w:val="24"/>
          <w:szCs w:val="24"/>
        </w:rPr>
        <w:t xml:space="preserve"> and </w:t>
      </w:r>
      <w:proofErr w:type="spellStart"/>
      <w:r w:rsidRPr="00126B2F">
        <w:rPr>
          <w:rFonts w:cs="Times New Roman"/>
          <w:color w:val="000000"/>
          <w:sz w:val="24"/>
          <w:szCs w:val="24"/>
        </w:rPr>
        <w:t>Virmani</w:t>
      </w:r>
      <w:proofErr w:type="spellEnd"/>
      <w:r w:rsidRPr="00126B2F">
        <w:rPr>
          <w:rFonts w:cs="Times New Roman"/>
          <w:color w:val="000000"/>
          <w:sz w:val="24"/>
          <w:szCs w:val="24"/>
        </w:rPr>
        <w:t xml:space="preserve"> </w:t>
      </w:r>
      <w:r w:rsidR="007C3902" w:rsidRPr="00126B2F">
        <w:rPr>
          <w:rFonts w:cs="Times New Roman"/>
          <w:color w:val="000000"/>
          <w:sz w:val="24"/>
          <w:szCs w:val="24"/>
        </w:rPr>
        <w:t xml:space="preserve">(2020) </w:t>
      </w:r>
      <w:r w:rsidR="00ED1FFD" w:rsidRPr="00126B2F">
        <w:rPr>
          <w:rFonts w:cs="Times New Roman"/>
          <w:color w:val="000000"/>
          <w:sz w:val="24"/>
          <w:szCs w:val="24"/>
        </w:rPr>
        <w:t xml:space="preserve">analysed </w:t>
      </w:r>
      <w:r w:rsidR="00531200" w:rsidRPr="00126B2F">
        <w:rPr>
          <w:rFonts w:cs="Times New Roman"/>
          <w:color w:val="000000"/>
          <w:sz w:val="24"/>
          <w:szCs w:val="24"/>
        </w:rPr>
        <w:t xml:space="preserve">UK </w:t>
      </w:r>
      <w:r w:rsidR="00ED1FFD" w:rsidRPr="00126B2F">
        <w:rPr>
          <w:rFonts w:cs="Times New Roman"/>
          <w:color w:val="000000"/>
          <w:sz w:val="24"/>
          <w:szCs w:val="24"/>
        </w:rPr>
        <w:t xml:space="preserve">VC remuneration levels against </w:t>
      </w:r>
      <w:r w:rsidR="000C0427" w:rsidRPr="00126B2F">
        <w:rPr>
          <w:rFonts w:cs="Times New Roman"/>
          <w:color w:val="000000"/>
          <w:sz w:val="24"/>
          <w:szCs w:val="24"/>
        </w:rPr>
        <w:t xml:space="preserve">three </w:t>
      </w:r>
      <w:r w:rsidR="00ED1FFD" w:rsidRPr="00126B2F">
        <w:rPr>
          <w:rFonts w:cs="Times New Roman"/>
          <w:color w:val="000000"/>
          <w:sz w:val="24"/>
          <w:szCs w:val="24"/>
        </w:rPr>
        <w:t>performance measures: efficiency (productivity</w:t>
      </w:r>
      <w:r w:rsidR="000C0427" w:rsidRPr="00126B2F">
        <w:rPr>
          <w:rFonts w:cs="Times New Roman"/>
          <w:color w:val="000000"/>
          <w:sz w:val="24"/>
          <w:szCs w:val="24"/>
        </w:rPr>
        <w:t>)</w:t>
      </w:r>
      <w:r w:rsidR="00ED1FFD" w:rsidRPr="00126B2F">
        <w:rPr>
          <w:rFonts w:cs="Times New Roman"/>
          <w:color w:val="000000"/>
          <w:sz w:val="24"/>
          <w:szCs w:val="24"/>
        </w:rPr>
        <w:t xml:space="preserve">, media league table rankings, and financial stability. They found that only rankings affected remuneration, and then only amongst pre-1992 universities. Amongst the post-1992s, size was the only significant determining factor. </w:t>
      </w:r>
      <w:r w:rsidR="000C0427" w:rsidRPr="00126B2F">
        <w:rPr>
          <w:rFonts w:cs="Times New Roman"/>
          <w:sz w:val="24"/>
          <w:szCs w:val="24"/>
        </w:rPr>
        <w:t xml:space="preserve">According to Kniest (2017), Australian VCs’ salaries appear disproportionate to the performance of their universities in terms of world rankings. No study has found convincing evidence of a strong relationship between VC remuneration and performance. </w:t>
      </w:r>
    </w:p>
    <w:p w14:paraId="6F19439A" w14:textId="77777777" w:rsidR="00F7771F" w:rsidRDefault="00F7771F" w:rsidP="00F7771F">
      <w:pPr>
        <w:spacing w:after="0" w:line="360" w:lineRule="auto"/>
        <w:rPr>
          <w:rFonts w:cs="Times New Roman"/>
          <w:color w:val="000000"/>
          <w:sz w:val="24"/>
          <w:szCs w:val="24"/>
        </w:rPr>
      </w:pPr>
    </w:p>
    <w:p w14:paraId="3117CA7A" w14:textId="5EA6B51E" w:rsidR="005308F2" w:rsidRDefault="001D38C8" w:rsidP="00F7771F">
      <w:pPr>
        <w:spacing w:after="0" w:line="360" w:lineRule="auto"/>
        <w:rPr>
          <w:rFonts w:cs="Times New Roman"/>
          <w:color w:val="000000"/>
          <w:sz w:val="24"/>
          <w:szCs w:val="24"/>
        </w:rPr>
      </w:pPr>
      <w:r w:rsidRPr="00126B2F">
        <w:rPr>
          <w:rFonts w:cs="Times New Roman"/>
          <w:color w:val="000000"/>
          <w:sz w:val="24"/>
          <w:szCs w:val="24"/>
        </w:rPr>
        <w:t>Th</w:t>
      </w:r>
      <w:r w:rsidR="00CF1062">
        <w:rPr>
          <w:rFonts w:cs="Times New Roman"/>
          <w:color w:val="000000"/>
          <w:sz w:val="24"/>
          <w:szCs w:val="24"/>
        </w:rPr>
        <w:t>e</w:t>
      </w:r>
      <w:r w:rsidRPr="00126B2F">
        <w:rPr>
          <w:rFonts w:cs="Times New Roman"/>
          <w:color w:val="000000"/>
          <w:sz w:val="24"/>
          <w:szCs w:val="24"/>
        </w:rPr>
        <w:t xml:space="preserve"> econometric literature also explores </w:t>
      </w:r>
      <w:r w:rsidR="00ED1FFD" w:rsidRPr="00126B2F">
        <w:rPr>
          <w:rFonts w:cs="Times New Roman"/>
          <w:color w:val="000000"/>
          <w:sz w:val="24"/>
          <w:szCs w:val="24"/>
        </w:rPr>
        <w:t xml:space="preserve">the </w:t>
      </w:r>
      <w:r w:rsidRPr="00126B2F">
        <w:rPr>
          <w:rFonts w:cs="Times New Roman"/>
          <w:color w:val="000000"/>
          <w:sz w:val="24"/>
          <w:szCs w:val="24"/>
        </w:rPr>
        <w:t xml:space="preserve">role of remuneration setting </w:t>
      </w:r>
      <w:r w:rsidR="000C0427" w:rsidRPr="00126B2F">
        <w:rPr>
          <w:rFonts w:cs="Times New Roman"/>
          <w:color w:val="000000"/>
          <w:sz w:val="24"/>
          <w:szCs w:val="24"/>
        </w:rPr>
        <w:t>tools.</w:t>
      </w:r>
      <w:r w:rsidR="004C2849" w:rsidRPr="00126B2F">
        <w:rPr>
          <w:rFonts w:cs="Times New Roman"/>
          <w:color w:val="000000"/>
          <w:sz w:val="24"/>
          <w:szCs w:val="24"/>
        </w:rPr>
        <w:t xml:space="preserve"> </w:t>
      </w:r>
      <w:proofErr w:type="spellStart"/>
      <w:r w:rsidR="005308F2" w:rsidRPr="00126B2F">
        <w:rPr>
          <w:rFonts w:cs="Times New Roman"/>
          <w:color w:val="000000"/>
          <w:sz w:val="24"/>
          <w:szCs w:val="24"/>
        </w:rPr>
        <w:t>Bachan</w:t>
      </w:r>
      <w:proofErr w:type="spellEnd"/>
      <w:r w:rsidR="005308F2" w:rsidRPr="00126B2F">
        <w:rPr>
          <w:rFonts w:cs="Times New Roman"/>
          <w:color w:val="000000"/>
          <w:sz w:val="24"/>
          <w:szCs w:val="24"/>
        </w:rPr>
        <w:t xml:space="preserve"> and Reilly </w:t>
      </w:r>
      <w:r w:rsidR="002F3051" w:rsidRPr="00126B2F">
        <w:rPr>
          <w:rFonts w:cs="Times New Roman"/>
          <w:color w:val="000000"/>
          <w:sz w:val="24"/>
          <w:szCs w:val="24"/>
        </w:rPr>
        <w:t xml:space="preserve">(2015) </w:t>
      </w:r>
      <w:r w:rsidR="005308F2" w:rsidRPr="00126B2F">
        <w:rPr>
          <w:rFonts w:cs="Times New Roman"/>
          <w:color w:val="000000"/>
          <w:sz w:val="24"/>
          <w:szCs w:val="24"/>
        </w:rPr>
        <w:t>look to tournament theory</w:t>
      </w:r>
      <w:r w:rsidR="004A243F" w:rsidRPr="00126B2F">
        <w:rPr>
          <w:rFonts w:cs="Times New Roman"/>
          <w:color w:val="000000"/>
          <w:sz w:val="24"/>
          <w:szCs w:val="24"/>
        </w:rPr>
        <w:t xml:space="preserve"> (Lazear </w:t>
      </w:r>
      <w:r w:rsidR="00E57B01" w:rsidRPr="00126B2F">
        <w:rPr>
          <w:rFonts w:cs="Times New Roman"/>
          <w:color w:val="000000"/>
          <w:sz w:val="24"/>
          <w:szCs w:val="24"/>
        </w:rPr>
        <w:t>&amp;</w:t>
      </w:r>
      <w:r w:rsidR="004A243F" w:rsidRPr="00126B2F">
        <w:rPr>
          <w:rFonts w:cs="Times New Roman"/>
          <w:color w:val="000000"/>
          <w:sz w:val="24"/>
          <w:szCs w:val="24"/>
        </w:rPr>
        <w:t xml:space="preserve"> Rosen, 1981), which suggests that pay levels can be explained by a person’s rank order in an organisation</w:t>
      </w:r>
      <w:r w:rsidR="004C2849" w:rsidRPr="00126B2F">
        <w:rPr>
          <w:rFonts w:cs="Times New Roman"/>
          <w:color w:val="000000"/>
          <w:sz w:val="24"/>
          <w:szCs w:val="24"/>
        </w:rPr>
        <w:t>.</w:t>
      </w:r>
      <w:r w:rsidR="004A243F" w:rsidRPr="00126B2F">
        <w:rPr>
          <w:rFonts w:cs="Times New Roman"/>
          <w:color w:val="000000"/>
          <w:sz w:val="24"/>
          <w:szCs w:val="24"/>
        </w:rPr>
        <w:t xml:space="preserve"> </w:t>
      </w:r>
      <w:r w:rsidR="005308F2" w:rsidRPr="00126B2F">
        <w:rPr>
          <w:rFonts w:cs="Times New Roman"/>
          <w:color w:val="000000"/>
          <w:sz w:val="24"/>
          <w:szCs w:val="24"/>
        </w:rPr>
        <w:t xml:space="preserve"> </w:t>
      </w:r>
      <w:r w:rsidRPr="00126B2F">
        <w:rPr>
          <w:rFonts w:cs="Times New Roman"/>
          <w:color w:val="000000"/>
          <w:sz w:val="24"/>
          <w:szCs w:val="24"/>
        </w:rPr>
        <w:t>They</w:t>
      </w:r>
      <w:r w:rsidR="004A243F" w:rsidRPr="00126B2F">
        <w:rPr>
          <w:rFonts w:cs="Times New Roman"/>
          <w:color w:val="000000"/>
          <w:sz w:val="24"/>
          <w:szCs w:val="24"/>
        </w:rPr>
        <w:t xml:space="preserve"> </w:t>
      </w:r>
      <w:r w:rsidR="002F3051" w:rsidRPr="00126B2F">
        <w:rPr>
          <w:rFonts w:cs="Times New Roman"/>
          <w:color w:val="000000"/>
          <w:sz w:val="24"/>
          <w:szCs w:val="24"/>
        </w:rPr>
        <w:t>found</w:t>
      </w:r>
      <w:r w:rsidR="007C3902" w:rsidRPr="00126B2F">
        <w:rPr>
          <w:rFonts w:cs="Times New Roman"/>
          <w:color w:val="000000"/>
          <w:sz w:val="24"/>
          <w:szCs w:val="24"/>
        </w:rPr>
        <w:t>:</w:t>
      </w:r>
    </w:p>
    <w:p w14:paraId="5572C995" w14:textId="77777777" w:rsidR="00F7771F" w:rsidRPr="00126B2F" w:rsidRDefault="00F7771F" w:rsidP="00F7771F">
      <w:pPr>
        <w:spacing w:after="0" w:line="360" w:lineRule="auto"/>
        <w:rPr>
          <w:rFonts w:cs="Times New Roman"/>
          <w:color w:val="000000"/>
          <w:sz w:val="24"/>
          <w:szCs w:val="24"/>
        </w:rPr>
      </w:pPr>
    </w:p>
    <w:p w14:paraId="78BF747F" w14:textId="556E75E8" w:rsidR="005308F2" w:rsidRPr="00126B2F" w:rsidRDefault="005308F2" w:rsidP="00F7771F">
      <w:pPr>
        <w:spacing w:after="0" w:line="360" w:lineRule="auto"/>
        <w:ind w:left="720"/>
        <w:rPr>
          <w:rFonts w:cs="Times New Roman"/>
          <w:sz w:val="24"/>
          <w:szCs w:val="24"/>
        </w:rPr>
      </w:pPr>
      <w:r w:rsidRPr="00126B2F">
        <w:rPr>
          <w:rFonts w:cs="Times New Roman"/>
          <w:sz w:val="24"/>
          <w:szCs w:val="24"/>
        </w:rPr>
        <w:t xml:space="preserve">… that VCs are rewarded according to internal pay structures as predicted by tournament theory. … The evidence suggests that the presence of highly-paid staff impacts positively on VC pay.  </w:t>
      </w:r>
      <w:r w:rsidR="001D38C8" w:rsidRPr="00126B2F">
        <w:rPr>
          <w:rFonts w:cs="Times New Roman"/>
          <w:color w:val="000000"/>
          <w:sz w:val="24"/>
          <w:szCs w:val="24"/>
        </w:rPr>
        <w:t>(</w:t>
      </w:r>
      <w:proofErr w:type="spellStart"/>
      <w:r w:rsidR="00F7771F" w:rsidRPr="00126B2F">
        <w:rPr>
          <w:rFonts w:cs="Times New Roman"/>
          <w:color w:val="000000"/>
          <w:sz w:val="24"/>
          <w:szCs w:val="24"/>
        </w:rPr>
        <w:t>Bachan</w:t>
      </w:r>
      <w:proofErr w:type="spellEnd"/>
      <w:r w:rsidR="00F7771F" w:rsidRPr="00126B2F">
        <w:rPr>
          <w:rFonts w:cs="Times New Roman"/>
          <w:color w:val="000000"/>
          <w:sz w:val="24"/>
          <w:szCs w:val="24"/>
        </w:rPr>
        <w:t xml:space="preserve"> </w:t>
      </w:r>
      <w:r w:rsidR="00F7771F">
        <w:rPr>
          <w:rFonts w:cs="Times New Roman"/>
          <w:color w:val="000000"/>
          <w:sz w:val="24"/>
          <w:szCs w:val="24"/>
        </w:rPr>
        <w:t xml:space="preserve">&amp; </w:t>
      </w:r>
      <w:r w:rsidR="00F7771F" w:rsidRPr="00126B2F">
        <w:rPr>
          <w:rFonts w:cs="Times New Roman"/>
          <w:color w:val="000000"/>
          <w:sz w:val="24"/>
          <w:szCs w:val="24"/>
        </w:rPr>
        <w:t>Reilly</w:t>
      </w:r>
      <w:r w:rsidR="00F7771F">
        <w:rPr>
          <w:rFonts w:cs="Times New Roman"/>
          <w:color w:val="000000"/>
          <w:sz w:val="24"/>
          <w:szCs w:val="24"/>
        </w:rPr>
        <w:t>,</w:t>
      </w:r>
      <w:r w:rsidR="00F7771F" w:rsidRPr="00126B2F">
        <w:rPr>
          <w:rFonts w:cs="Times New Roman"/>
          <w:color w:val="000000"/>
          <w:sz w:val="24"/>
          <w:szCs w:val="24"/>
        </w:rPr>
        <w:t xml:space="preserve"> </w:t>
      </w:r>
      <w:r w:rsidR="001D38C8" w:rsidRPr="00126B2F">
        <w:rPr>
          <w:rFonts w:cs="Times New Roman"/>
          <w:color w:val="000000"/>
          <w:sz w:val="24"/>
          <w:szCs w:val="24"/>
        </w:rPr>
        <w:t>2015, p</w:t>
      </w:r>
      <w:r w:rsidR="007C3902" w:rsidRPr="00126B2F">
        <w:rPr>
          <w:rFonts w:cs="Times New Roman"/>
          <w:color w:val="000000"/>
          <w:sz w:val="24"/>
          <w:szCs w:val="24"/>
        </w:rPr>
        <w:t xml:space="preserve">. </w:t>
      </w:r>
      <w:r w:rsidR="001D38C8" w:rsidRPr="00126B2F">
        <w:rPr>
          <w:rFonts w:cs="Times New Roman"/>
          <w:color w:val="000000"/>
          <w:sz w:val="24"/>
          <w:szCs w:val="24"/>
        </w:rPr>
        <w:t>69)</w:t>
      </w:r>
      <w:r w:rsidR="001D38C8" w:rsidRPr="00126B2F" w:rsidDel="005702B8">
        <w:rPr>
          <w:rFonts w:cs="Times New Roman"/>
          <w:sz w:val="24"/>
          <w:szCs w:val="24"/>
        </w:rPr>
        <w:t xml:space="preserve"> </w:t>
      </w:r>
    </w:p>
    <w:p w14:paraId="7D069BEF" w14:textId="77777777" w:rsidR="00F7771F" w:rsidRDefault="00F7771F" w:rsidP="00F7771F">
      <w:pPr>
        <w:spacing w:after="0" w:line="360" w:lineRule="auto"/>
        <w:rPr>
          <w:rFonts w:cs="Times New Roman"/>
          <w:sz w:val="24"/>
          <w:szCs w:val="24"/>
        </w:rPr>
      </w:pPr>
    </w:p>
    <w:p w14:paraId="3905523A" w14:textId="2FAC38AA" w:rsidR="00ED1FFD" w:rsidRPr="00126B2F" w:rsidRDefault="00ED1FFD" w:rsidP="00F7771F">
      <w:pPr>
        <w:spacing w:after="0" w:line="360" w:lineRule="auto"/>
        <w:rPr>
          <w:rFonts w:cs="Times New Roman"/>
          <w:color w:val="000000"/>
          <w:sz w:val="24"/>
          <w:szCs w:val="24"/>
        </w:rPr>
      </w:pPr>
      <w:r w:rsidRPr="00126B2F">
        <w:rPr>
          <w:rFonts w:cs="Times New Roman"/>
          <w:sz w:val="24"/>
          <w:szCs w:val="24"/>
        </w:rPr>
        <w:t xml:space="preserve">This finding was confirmed by </w:t>
      </w:r>
      <w:proofErr w:type="spellStart"/>
      <w:r w:rsidRPr="00126B2F">
        <w:rPr>
          <w:rFonts w:cs="Times New Roman"/>
          <w:sz w:val="24"/>
          <w:szCs w:val="24"/>
        </w:rPr>
        <w:t>Johnes</w:t>
      </w:r>
      <w:proofErr w:type="spellEnd"/>
      <w:r w:rsidRPr="00126B2F">
        <w:rPr>
          <w:rFonts w:cs="Times New Roman"/>
          <w:sz w:val="24"/>
          <w:szCs w:val="24"/>
        </w:rPr>
        <w:t xml:space="preserve"> and </w:t>
      </w:r>
      <w:proofErr w:type="spellStart"/>
      <w:r w:rsidRPr="00126B2F">
        <w:rPr>
          <w:rFonts w:cs="Times New Roman"/>
          <w:sz w:val="24"/>
          <w:szCs w:val="24"/>
        </w:rPr>
        <w:t>Virmani</w:t>
      </w:r>
      <w:proofErr w:type="spellEnd"/>
      <w:r w:rsidRPr="00126B2F">
        <w:rPr>
          <w:rFonts w:cs="Times New Roman"/>
          <w:sz w:val="24"/>
          <w:szCs w:val="24"/>
        </w:rPr>
        <w:t xml:space="preserve"> (20</w:t>
      </w:r>
      <w:r w:rsidR="007C3902" w:rsidRPr="00126B2F">
        <w:rPr>
          <w:rFonts w:cs="Times New Roman"/>
          <w:sz w:val="24"/>
          <w:szCs w:val="24"/>
        </w:rPr>
        <w:t>20</w:t>
      </w:r>
      <w:r w:rsidRPr="00126B2F">
        <w:rPr>
          <w:rFonts w:cs="Times New Roman"/>
          <w:sz w:val="24"/>
          <w:szCs w:val="24"/>
        </w:rPr>
        <w:t xml:space="preserve">). </w:t>
      </w:r>
    </w:p>
    <w:p w14:paraId="7A765CB4" w14:textId="77777777" w:rsidR="00F7771F" w:rsidRDefault="00F7771F" w:rsidP="00F7771F">
      <w:pPr>
        <w:autoSpaceDE w:val="0"/>
        <w:autoSpaceDN w:val="0"/>
        <w:adjustRightInd w:val="0"/>
        <w:spacing w:after="0" w:line="360" w:lineRule="auto"/>
        <w:rPr>
          <w:rFonts w:cs="Times New Roman"/>
          <w:color w:val="000000"/>
          <w:sz w:val="24"/>
          <w:szCs w:val="24"/>
        </w:rPr>
      </w:pPr>
    </w:p>
    <w:p w14:paraId="260D3486" w14:textId="7DA273DA" w:rsidR="00D16E6A" w:rsidRPr="00126B2F" w:rsidRDefault="001D38C8" w:rsidP="00F7771F">
      <w:pPr>
        <w:autoSpaceDE w:val="0"/>
        <w:autoSpaceDN w:val="0"/>
        <w:adjustRightInd w:val="0"/>
        <w:spacing w:after="0" w:line="360" w:lineRule="auto"/>
        <w:rPr>
          <w:rFonts w:cs="Times New Roman"/>
          <w:sz w:val="24"/>
          <w:szCs w:val="24"/>
          <w:lang w:val="en-AU"/>
        </w:rPr>
      </w:pPr>
      <w:r w:rsidRPr="00126B2F">
        <w:rPr>
          <w:rFonts w:cs="Times New Roman"/>
          <w:color w:val="000000"/>
          <w:sz w:val="24"/>
          <w:szCs w:val="24"/>
        </w:rPr>
        <w:t xml:space="preserve">Benchmarking is the </w:t>
      </w:r>
      <w:r w:rsidR="005308F2" w:rsidRPr="00126B2F">
        <w:rPr>
          <w:rFonts w:cs="Times New Roman"/>
          <w:color w:val="000000"/>
          <w:sz w:val="24"/>
          <w:szCs w:val="24"/>
        </w:rPr>
        <w:t>set</w:t>
      </w:r>
      <w:r w:rsidRPr="00126B2F">
        <w:rPr>
          <w:rFonts w:cs="Times New Roman"/>
          <w:color w:val="000000"/>
          <w:sz w:val="24"/>
          <w:szCs w:val="24"/>
        </w:rPr>
        <w:t>ting of remuneration</w:t>
      </w:r>
      <w:r w:rsidR="005308F2" w:rsidRPr="00126B2F">
        <w:rPr>
          <w:rFonts w:cs="Times New Roman"/>
          <w:color w:val="000000"/>
          <w:sz w:val="24"/>
          <w:szCs w:val="24"/>
        </w:rPr>
        <w:t xml:space="preserve"> by reference to analogous organisations/job roles</w:t>
      </w:r>
      <w:r w:rsidR="005C381B">
        <w:rPr>
          <w:rFonts w:cs="Times New Roman"/>
          <w:color w:val="000000"/>
          <w:sz w:val="24"/>
          <w:szCs w:val="24"/>
        </w:rPr>
        <w:t>—</w:t>
      </w:r>
      <w:r w:rsidR="005308F2" w:rsidRPr="00126B2F">
        <w:rPr>
          <w:rFonts w:cs="Times New Roman"/>
          <w:color w:val="000000"/>
          <w:sz w:val="24"/>
          <w:szCs w:val="24"/>
        </w:rPr>
        <w:t xml:space="preserve">an attempt to set a </w:t>
      </w:r>
      <w:r w:rsidR="00F324C5" w:rsidRPr="00126B2F">
        <w:rPr>
          <w:rFonts w:cs="Times New Roman"/>
          <w:color w:val="000000"/>
          <w:sz w:val="24"/>
          <w:szCs w:val="24"/>
        </w:rPr>
        <w:t xml:space="preserve">self-fulfilling </w:t>
      </w:r>
      <w:r w:rsidR="005308F2" w:rsidRPr="00126B2F">
        <w:rPr>
          <w:rFonts w:cs="Times New Roman"/>
          <w:color w:val="000000"/>
          <w:sz w:val="24"/>
          <w:szCs w:val="24"/>
        </w:rPr>
        <w:t>market for pay</w:t>
      </w:r>
      <w:r w:rsidR="005308F2" w:rsidRPr="00126B2F">
        <w:rPr>
          <w:rFonts w:cs="Times New Roman"/>
          <w:sz w:val="24"/>
          <w:szCs w:val="24"/>
        </w:rPr>
        <w:t xml:space="preserve"> (DiPrete, </w:t>
      </w:r>
      <w:proofErr w:type="spellStart"/>
      <w:r w:rsidR="005308F2" w:rsidRPr="00126B2F">
        <w:rPr>
          <w:rFonts w:cs="Times New Roman"/>
          <w:sz w:val="24"/>
          <w:szCs w:val="24"/>
        </w:rPr>
        <w:t>Eirich</w:t>
      </w:r>
      <w:proofErr w:type="spellEnd"/>
      <w:r w:rsidR="005308F2" w:rsidRPr="00126B2F">
        <w:rPr>
          <w:rFonts w:cs="Times New Roman"/>
          <w:sz w:val="24"/>
          <w:szCs w:val="24"/>
        </w:rPr>
        <w:t xml:space="preserve"> &amp; </w:t>
      </w:r>
      <w:proofErr w:type="spellStart"/>
      <w:r w:rsidR="005308F2" w:rsidRPr="00126B2F">
        <w:rPr>
          <w:rFonts w:cs="Times New Roman"/>
          <w:sz w:val="24"/>
          <w:szCs w:val="24"/>
        </w:rPr>
        <w:t>Pittinsky</w:t>
      </w:r>
      <w:proofErr w:type="spellEnd"/>
      <w:r w:rsidR="005702B8" w:rsidRPr="00126B2F">
        <w:rPr>
          <w:rFonts w:cs="Times New Roman"/>
          <w:sz w:val="24"/>
          <w:szCs w:val="24"/>
        </w:rPr>
        <w:t>,</w:t>
      </w:r>
      <w:r w:rsidR="005308F2" w:rsidRPr="00126B2F">
        <w:rPr>
          <w:rFonts w:cs="Times New Roman"/>
          <w:sz w:val="24"/>
          <w:szCs w:val="24"/>
        </w:rPr>
        <w:t xml:space="preserve"> 2010)</w:t>
      </w:r>
      <w:r w:rsidRPr="00126B2F">
        <w:rPr>
          <w:rFonts w:cs="Times New Roman"/>
          <w:sz w:val="24"/>
          <w:szCs w:val="24"/>
        </w:rPr>
        <w:t xml:space="preserve">. </w:t>
      </w:r>
      <w:proofErr w:type="spellStart"/>
      <w:r w:rsidR="005308F2" w:rsidRPr="00126B2F">
        <w:rPr>
          <w:rFonts w:cs="Times New Roman"/>
          <w:sz w:val="24"/>
          <w:szCs w:val="24"/>
        </w:rPr>
        <w:t>Gschwandtner</w:t>
      </w:r>
      <w:proofErr w:type="spellEnd"/>
      <w:r w:rsidR="005308F2" w:rsidRPr="00126B2F">
        <w:rPr>
          <w:rFonts w:cs="Times New Roman"/>
          <w:sz w:val="24"/>
          <w:szCs w:val="24"/>
        </w:rPr>
        <w:t xml:space="preserve"> and McManus (2018) and others (e.g. Schmidt &amp; </w:t>
      </w:r>
      <w:proofErr w:type="spellStart"/>
      <w:r w:rsidR="005308F2" w:rsidRPr="00126B2F">
        <w:rPr>
          <w:rFonts w:cs="Times New Roman"/>
          <w:sz w:val="24"/>
          <w:szCs w:val="24"/>
        </w:rPr>
        <w:t>Dworschak</w:t>
      </w:r>
      <w:proofErr w:type="spellEnd"/>
      <w:r w:rsidR="005308F2" w:rsidRPr="00126B2F">
        <w:rPr>
          <w:rFonts w:cs="Times New Roman"/>
          <w:sz w:val="24"/>
          <w:szCs w:val="24"/>
        </w:rPr>
        <w:t xml:space="preserve"> 2006) found that high levels of </w:t>
      </w:r>
      <w:r w:rsidR="002F2CF6" w:rsidRPr="00126B2F">
        <w:rPr>
          <w:rFonts w:cs="Times New Roman"/>
          <w:sz w:val="24"/>
          <w:szCs w:val="24"/>
        </w:rPr>
        <w:t>VC</w:t>
      </w:r>
      <w:r w:rsidR="005308F2" w:rsidRPr="00126B2F">
        <w:rPr>
          <w:rFonts w:cs="Times New Roman"/>
          <w:sz w:val="24"/>
          <w:szCs w:val="24"/>
        </w:rPr>
        <w:t xml:space="preserve"> </w:t>
      </w:r>
      <w:r w:rsidR="00E960D7">
        <w:rPr>
          <w:rFonts w:cs="Times New Roman"/>
          <w:sz w:val="24"/>
          <w:szCs w:val="24"/>
        </w:rPr>
        <w:t>remuneration</w:t>
      </w:r>
      <w:r w:rsidR="00E960D7" w:rsidRPr="00126B2F">
        <w:rPr>
          <w:rFonts w:cs="Times New Roman"/>
          <w:sz w:val="24"/>
          <w:szCs w:val="24"/>
        </w:rPr>
        <w:t xml:space="preserve"> </w:t>
      </w:r>
      <w:r w:rsidR="005308F2" w:rsidRPr="00126B2F">
        <w:rPr>
          <w:rFonts w:cs="Times New Roman"/>
          <w:sz w:val="24"/>
          <w:szCs w:val="24"/>
        </w:rPr>
        <w:t>are linked to benchmarking</w:t>
      </w:r>
      <w:r w:rsidR="004C2849" w:rsidRPr="00126B2F">
        <w:rPr>
          <w:rFonts w:cs="Times New Roman"/>
          <w:sz w:val="24"/>
          <w:szCs w:val="24"/>
        </w:rPr>
        <w:t xml:space="preserve"> exercises</w:t>
      </w:r>
      <w:r w:rsidR="00D16E6A" w:rsidRPr="00126B2F">
        <w:rPr>
          <w:rFonts w:cs="Times New Roman"/>
          <w:sz w:val="24"/>
          <w:szCs w:val="24"/>
        </w:rPr>
        <w:t>, ‘</w:t>
      </w:r>
      <w:r w:rsidR="00D16E6A" w:rsidRPr="00126B2F">
        <w:rPr>
          <w:rFonts w:cs="Times New Roman"/>
          <w:sz w:val="24"/>
          <w:szCs w:val="24"/>
          <w:lang w:val="en-AU"/>
        </w:rPr>
        <w:t>where those</w:t>
      </w:r>
    </w:p>
    <w:p w14:paraId="63A4B452" w14:textId="77777777" w:rsidR="00D16E6A" w:rsidRPr="00126B2F" w:rsidRDefault="00D16E6A" w:rsidP="00F7771F">
      <w:pPr>
        <w:autoSpaceDE w:val="0"/>
        <w:autoSpaceDN w:val="0"/>
        <w:adjustRightInd w:val="0"/>
        <w:spacing w:after="0" w:line="360" w:lineRule="auto"/>
        <w:rPr>
          <w:rFonts w:cs="Times New Roman"/>
          <w:sz w:val="24"/>
          <w:szCs w:val="24"/>
          <w:lang w:val="en-AU"/>
        </w:rPr>
      </w:pPr>
      <w:r w:rsidRPr="00126B2F">
        <w:rPr>
          <w:rFonts w:cs="Times New Roman"/>
          <w:sz w:val="24"/>
          <w:szCs w:val="24"/>
          <w:lang w:val="en-AU"/>
        </w:rPr>
        <w:t>universities with below average pay increase their VC pay quicker than those with</w:t>
      </w:r>
    </w:p>
    <w:p w14:paraId="79AB3DE4" w14:textId="0AF3F1F3" w:rsidR="005308F2" w:rsidRPr="00126B2F" w:rsidRDefault="00D16E6A" w:rsidP="00F7771F">
      <w:pPr>
        <w:spacing w:after="0" w:line="360" w:lineRule="auto"/>
        <w:rPr>
          <w:rFonts w:cs="Times New Roman"/>
          <w:sz w:val="24"/>
          <w:szCs w:val="24"/>
        </w:rPr>
      </w:pPr>
      <w:r w:rsidRPr="00126B2F">
        <w:rPr>
          <w:rFonts w:cs="Times New Roman"/>
          <w:sz w:val="24"/>
          <w:szCs w:val="24"/>
          <w:lang w:val="en-AU"/>
        </w:rPr>
        <w:t>above average pay’ (</w:t>
      </w:r>
      <w:proofErr w:type="spellStart"/>
      <w:r w:rsidRPr="00126B2F">
        <w:rPr>
          <w:rFonts w:cs="Times New Roman"/>
          <w:sz w:val="24"/>
          <w:szCs w:val="24"/>
        </w:rPr>
        <w:t>Gschwandtner</w:t>
      </w:r>
      <w:proofErr w:type="spellEnd"/>
      <w:r w:rsidRPr="00126B2F">
        <w:rPr>
          <w:rFonts w:cs="Times New Roman"/>
          <w:sz w:val="24"/>
          <w:szCs w:val="24"/>
        </w:rPr>
        <w:t xml:space="preserve"> </w:t>
      </w:r>
      <w:r w:rsidR="005C381B">
        <w:rPr>
          <w:rFonts w:cs="Times New Roman"/>
          <w:sz w:val="24"/>
          <w:szCs w:val="24"/>
        </w:rPr>
        <w:t xml:space="preserve">&amp; </w:t>
      </w:r>
      <w:proofErr w:type="gramStart"/>
      <w:r w:rsidRPr="00126B2F">
        <w:rPr>
          <w:rFonts w:cs="Times New Roman"/>
          <w:sz w:val="24"/>
          <w:szCs w:val="24"/>
        </w:rPr>
        <w:t>McManus  2018</w:t>
      </w:r>
      <w:proofErr w:type="gramEnd"/>
      <w:r w:rsidRPr="00126B2F">
        <w:rPr>
          <w:rFonts w:cs="Times New Roman"/>
          <w:sz w:val="24"/>
          <w:szCs w:val="24"/>
        </w:rPr>
        <w:t>, p. 1)</w:t>
      </w:r>
      <w:r w:rsidR="005308F2" w:rsidRPr="00126B2F">
        <w:rPr>
          <w:rFonts w:cs="Times New Roman"/>
          <w:sz w:val="24"/>
          <w:szCs w:val="24"/>
        </w:rPr>
        <w:t xml:space="preserve">. </w:t>
      </w:r>
      <w:r w:rsidRPr="00126B2F">
        <w:rPr>
          <w:rFonts w:cs="Times New Roman"/>
          <w:sz w:val="24"/>
          <w:szCs w:val="24"/>
        </w:rPr>
        <w:t xml:space="preserve"> </w:t>
      </w:r>
      <w:proofErr w:type="spellStart"/>
      <w:r w:rsidR="005308F2" w:rsidRPr="00126B2F">
        <w:rPr>
          <w:rFonts w:cs="Times New Roman"/>
          <w:color w:val="000000"/>
          <w:sz w:val="24"/>
          <w:szCs w:val="24"/>
        </w:rPr>
        <w:t>Bachan</w:t>
      </w:r>
      <w:proofErr w:type="spellEnd"/>
      <w:r w:rsidR="005308F2" w:rsidRPr="00126B2F">
        <w:rPr>
          <w:rFonts w:cs="Times New Roman"/>
          <w:color w:val="000000"/>
          <w:sz w:val="24"/>
          <w:szCs w:val="24"/>
        </w:rPr>
        <w:t xml:space="preserve"> and Reilly (2015) found that UK elite university VCs </w:t>
      </w:r>
      <w:r w:rsidR="000C3883" w:rsidRPr="00126B2F">
        <w:rPr>
          <w:rFonts w:cs="Times New Roman"/>
          <w:color w:val="000000"/>
          <w:sz w:val="24"/>
          <w:szCs w:val="24"/>
        </w:rPr>
        <w:t xml:space="preserve">tended to be </w:t>
      </w:r>
      <w:r w:rsidR="005308F2" w:rsidRPr="00126B2F">
        <w:rPr>
          <w:rFonts w:cs="Times New Roman"/>
          <w:color w:val="000000"/>
          <w:sz w:val="24"/>
          <w:szCs w:val="24"/>
        </w:rPr>
        <w:t>paid more than their less prestigious counterparts</w:t>
      </w:r>
      <w:r w:rsidR="00C65777" w:rsidRPr="00126B2F">
        <w:rPr>
          <w:rFonts w:cs="Times New Roman"/>
          <w:color w:val="000000"/>
          <w:sz w:val="24"/>
          <w:szCs w:val="24"/>
        </w:rPr>
        <w:t>.</w:t>
      </w:r>
    </w:p>
    <w:p w14:paraId="12CFDD1C" w14:textId="77777777" w:rsidR="00F7771F" w:rsidRDefault="00F7771F" w:rsidP="00F7771F">
      <w:pPr>
        <w:spacing w:after="0" w:line="360" w:lineRule="auto"/>
        <w:rPr>
          <w:rFonts w:cs="Times New Roman"/>
          <w:color w:val="000000"/>
          <w:sz w:val="24"/>
          <w:szCs w:val="24"/>
        </w:rPr>
      </w:pPr>
    </w:p>
    <w:p w14:paraId="59C34F32" w14:textId="23B0978F" w:rsidR="00670CE1" w:rsidRPr="00126B2F" w:rsidRDefault="004C2849" w:rsidP="00F7771F">
      <w:pPr>
        <w:spacing w:after="0" w:line="360" w:lineRule="auto"/>
        <w:rPr>
          <w:rFonts w:cs="Times New Roman"/>
          <w:sz w:val="24"/>
          <w:szCs w:val="24"/>
        </w:rPr>
      </w:pPr>
      <w:r w:rsidRPr="00126B2F">
        <w:rPr>
          <w:rFonts w:cs="Times New Roman"/>
          <w:color w:val="000000"/>
          <w:sz w:val="24"/>
          <w:szCs w:val="24"/>
        </w:rPr>
        <w:t>In sum, rapidly</w:t>
      </w:r>
      <w:r w:rsidR="00F324C5" w:rsidRPr="00126B2F">
        <w:rPr>
          <w:rFonts w:cs="Times New Roman"/>
          <w:color w:val="000000"/>
          <w:sz w:val="24"/>
          <w:szCs w:val="24"/>
        </w:rPr>
        <w:t xml:space="preserve"> rising VC remuneration </w:t>
      </w:r>
      <w:r w:rsidRPr="00126B2F">
        <w:rPr>
          <w:rFonts w:cs="Times New Roman"/>
          <w:color w:val="000000"/>
          <w:sz w:val="24"/>
          <w:szCs w:val="24"/>
        </w:rPr>
        <w:t xml:space="preserve">is not strongly correlated with performance. There is evidence that </w:t>
      </w:r>
      <w:r w:rsidR="00E960D7">
        <w:rPr>
          <w:rFonts w:cs="Times New Roman"/>
          <w:color w:val="000000"/>
          <w:sz w:val="24"/>
          <w:szCs w:val="24"/>
        </w:rPr>
        <w:t>remuneration</w:t>
      </w:r>
      <w:r w:rsidR="00E960D7" w:rsidRPr="00126B2F">
        <w:rPr>
          <w:rFonts w:cs="Times New Roman"/>
          <w:color w:val="000000"/>
          <w:sz w:val="24"/>
          <w:szCs w:val="24"/>
        </w:rPr>
        <w:t xml:space="preserve"> </w:t>
      </w:r>
      <w:r w:rsidRPr="00126B2F">
        <w:rPr>
          <w:rFonts w:cs="Times New Roman"/>
          <w:color w:val="000000"/>
          <w:sz w:val="24"/>
          <w:szCs w:val="24"/>
        </w:rPr>
        <w:t>setting</w:t>
      </w:r>
      <w:r w:rsidR="00F324C5" w:rsidRPr="00126B2F">
        <w:rPr>
          <w:rFonts w:cs="Times New Roman"/>
          <w:color w:val="000000"/>
          <w:sz w:val="24"/>
          <w:szCs w:val="24"/>
        </w:rPr>
        <w:t xml:space="preserve"> tools</w:t>
      </w:r>
      <w:r w:rsidRPr="00126B2F">
        <w:rPr>
          <w:rFonts w:cs="Times New Roman"/>
          <w:color w:val="000000"/>
          <w:sz w:val="24"/>
          <w:szCs w:val="24"/>
        </w:rPr>
        <w:t xml:space="preserve">, such as </w:t>
      </w:r>
      <w:r w:rsidR="00E960D7">
        <w:rPr>
          <w:rFonts w:cs="Times New Roman"/>
          <w:color w:val="000000"/>
          <w:sz w:val="24"/>
          <w:szCs w:val="24"/>
        </w:rPr>
        <w:t>remuneration</w:t>
      </w:r>
      <w:r w:rsidR="00E960D7" w:rsidRPr="00126B2F">
        <w:rPr>
          <w:rFonts w:cs="Times New Roman"/>
          <w:color w:val="000000"/>
          <w:sz w:val="24"/>
          <w:szCs w:val="24"/>
        </w:rPr>
        <w:t xml:space="preserve"> </w:t>
      </w:r>
      <w:r w:rsidRPr="00126B2F">
        <w:rPr>
          <w:rFonts w:cs="Times New Roman"/>
          <w:color w:val="000000"/>
          <w:sz w:val="24"/>
          <w:szCs w:val="24"/>
        </w:rPr>
        <w:t>tournaments and benchmarking</w:t>
      </w:r>
      <w:r w:rsidR="000C3883" w:rsidRPr="00126B2F">
        <w:rPr>
          <w:rFonts w:cs="Times New Roman"/>
          <w:color w:val="000000"/>
          <w:sz w:val="24"/>
          <w:szCs w:val="24"/>
        </w:rPr>
        <w:t>,</w:t>
      </w:r>
      <w:r w:rsidRPr="00126B2F">
        <w:rPr>
          <w:rFonts w:cs="Times New Roman"/>
          <w:color w:val="000000"/>
          <w:sz w:val="24"/>
          <w:szCs w:val="24"/>
        </w:rPr>
        <w:t xml:space="preserve"> are influential in driving up remuneration. In agency terms, these findings beg the question as to whether information and power asymmetries within universities are influencing the setting of remuneration</w:t>
      </w:r>
      <w:r w:rsidR="00430222" w:rsidRPr="00126B2F">
        <w:rPr>
          <w:rFonts w:cs="Times New Roman"/>
          <w:color w:val="000000"/>
          <w:sz w:val="24"/>
          <w:szCs w:val="24"/>
        </w:rPr>
        <w:t xml:space="preserve"> as, in agency terms, VCs are achieving unjustifiably </w:t>
      </w:r>
      <w:r w:rsidR="00430222" w:rsidRPr="00126B2F">
        <w:rPr>
          <w:rFonts w:cs="Times New Roman"/>
          <w:color w:val="000000"/>
          <w:sz w:val="24"/>
          <w:szCs w:val="24"/>
        </w:rPr>
        <w:lastRenderedPageBreak/>
        <w:t>high remuneration</w:t>
      </w:r>
      <w:r w:rsidRPr="00126B2F">
        <w:rPr>
          <w:rFonts w:cs="Times New Roman"/>
          <w:color w:val="000000"/>
          <w:sz w:val="24"/>
          <w:szCs w:val="24"/>
        </w:rPr>
        <w:t xml:space="preserve">. </w:t>
      </w:r>
      <w:r w:rsidR="00670CE1" w:rsidRPr="00126B2F">
        <w:rPr>
          <w:rFonts w:cs="Times New Roman"/>
          <w:sz w:val="24"/>
          <w:szCs w:val="24"/>
        </w:rPr>
        <w:t xml:space="preserve">Governance </w:t>
      </w:r>
      <w:r w:rsidR="00C2160A" w:rsidRPr="00126B2F">
        <w:rPr>
          <w:rFonts w:cs="Times New Roman"/>
          <w:sz w:val="24"/>
          <w:szCs w:val="24"/>
        </w:rPr>
        <w:t>regimes play a central role in the distribution of organisational power</w:t>
      </w:r>
      <w:r w:rsidRPr="00126B2F">
        <w:rPr>
          <w:rFonts w:cs="Times New Roman"/>
          <w:sz w:val="24"/>
          <w:szCs w:val="24"/>
        </w:rPr>
        <w:t xml:space="preserve"> and determine the approaches used for fixing remuneration. We now examine the dynamic governance regimes of Australia and the UK with regard to VC remuneration. </w:t>
      </w:r>
    </w:p>
    <w:p w14:paraId="736E1BFD" w14:textId="77777777" w:rsidR="00691517" w:rsidRPr="00126B2F" w:rsidRDefault="00691517" w:rsidP="00F7771F">
      <w:pPr>
        <w:spacing w:after="0" w:line="360" w:lineRule="auto"/>
        <w:rPr>
          <w:rFonts w:cs="Times New Roman"/>
          <w:color w:val="FF0000"/>
          <w:sz w:val="24"/>
          <w:szCs w:val="24"/>
        </w:rPr>
      </w:pPr>
    </w:p>
    <w:p w14:paraId="2F5E9DFA" w14:textId="0199194A" w:rsidR="0035512B" w:rsidRDefault="0018676B" w:rsidP="00F7771F">
      <w:pPr>
        <w:spacing w:after="0" w:line="360" w:lineRule="auto"/>
        <w:rPr>
          <w:rFonts w:cs="Times New Roman"/>
          <w:b/>
          <w:sz w:val="24"/>
          <w:szCs w:val="24"/>
        </w:rPr>
      </w:pPr>
      <w:r w:rsidRPr="00126B2F">
        <w:rPr>
          <w:rFonts w:cs="Times New Roman"/>
          <w:b/>
          <w:sz w:val="24"/>
          <w:szCs w:val="24"/>
        </w:rPr>
        <w:t xml:space="preserve">The changing landscape of VCs’ </w:t>
      </w:r>
      <w:r w:rsidR="00322426" w:rsidRPr="00126B2F">
        <w:rPr>
          <w:rFonts w:cs="Times New Roman"/>
          <w:b/>
          <w:sz w:val="24"/>
          <w:szCs w:val="24"/>
        </w:rPr>
        <w:t>remuneration</w:t>
      </w:r>
      <w:r w:rsidRPr="00126B2F">
        <w:rPr>
          <w:rFonts w:cs="Times New Roman"/>
          <w:b/>
          <w:sz w:val="24"/>
          <w:szCs w:val="24"/>
        </w:rPr>
        <w:t xml:space="preserve"> in</w:t>
      </w:r>
      <w:r w:rsidR="00322426" w:rsidRPr="00126B2F">
        <w:rPr>
          <w:rFonts w:cs="Times New Roman"/>
          <w:b/>
          <w:sz w:val="24"/>
          <w:szCs w:val="24"/>
        </w:rPr>
        <w:t xml:space="preserve"> Australia and the UK</w:t>
      </w:r>
    </w:p>
    <w:p w14:paraId="696BC9ED" w14:textId="77777777" w:rsidR="00F7771F" w:rsidRPr="00126B2F" w:rsidRDefault="00F7771F" w:rsidP="00F7771F">
      <w:pPr>
        <w:spacing w:after="0" w:line="360" w:lineRule="auto"/>
        <w:rPr>
          <w:rFonts w:cs="Times New Roman"/>
          <w:b/>
          <w:sz w:val="24"/>
          <w:szCs w:val="24"/>
        </w:rPr>
      </w:pPr>
    </w:p>
    <w:p w14:paraId="72475CCA" w14:textId="48B30770" w:rsidR="003E5535" w:rsidRPr="00126B2F" w:rsidRDefault="00207FAD" w:rsidP="00F7771F">
      <w:pPr>
        <w:autoSpaceDE w:val="0"/>
        <w:autoSpaceDN w:val="0"/>
        <w:adjustRightInd w:val="0"/>
        <w:spacing w:after="0" w:line="360" w:lineRule="auto"/>
        <w:rPr>
          <w:rFonts w:cs="Times New Roman"/>
          <w:color w:val="000000"/>
          <w:sz w:val="24"/>
          <w:szCs w:val="24"/>
        </w:rPr>
      </w:pPr>
      <w:r w:rsidRPr="00126B2F">
        <w:rPr>
          <w:rFonts w:cs="Times New Roman"/>
          <w:sz w:val="24"/>
          <w:szCs w:val="24"/>
        </w:rPr>
        <w:t xml:space="preserve">Traditionally, </w:t>
      </w:r>
      <w:r w:rsidR="003E5535" w:rsidRPr="00126B2F">
        <w:rPr>
          <w:rFonts w:cs="Times New Roman"/>
          <w:sz w:val="24"/>
          <w:szCs w:val="24"/>
        </w:rPr>
        <w:t>Australian and UK universities</w:t>
      </w:r>
      <w:r w:rsidRPr="00126B2F">
        <w:rPr>
          <w:rFonts w:cs="Times New Roman"/>
          <w:sz w:val="24"/>
          <w:szCs w:val="24"/>
        </w:rPr>
        <w:t xml:space="preserve"> </w:t>
      </w:r>
      <w:r w:rsidR="00430222" w:rsidRPr="00126B2F">
        <w:rPr>
          <w:rFonts w:cs="Times New Roman"/>
          <w:sz w:val="24"/>
          <w:szCs w:val="24"/>
        </w:rPr>
        <w:t>practi</w:t>
      </w:r>
      <w:r w:rsidR="00097BB1">
        <w:rPr>
          <w:rFonts w:cs="Times New Roman"/>
          <w:sz w:val="24"/>
          <w:szCs w:val="24"/>
        </w:rPr>
        <w:t>s</w:t>
      </w:r>
      <w:r w:rsidR="00430222" w:rsidRPr="00126B2F">
        <w:rPr>
          <w:rFonts w:cs="Times New Roman"/>
          <w:sz w:val="24"/>
          <w:szCs w:val="24"/>
        </w:rPr>
        <w:t>ed</w:t>
      </w:r>
      <w:r w:rsidRPr="00126B2F">
        <w:rPr>
          <w:rFonts w:cs="Times New Roman"/>
          <w:sz w:val="24"/>
          <w:szCs w:val="24"/>
        </w:rPr>
        <w:t xml:space="preserve"> </w:t>
      </w:r>
      <w:r w:rsidR="003E5535" w:rsidRPr="00126B2F">
        <w:rPr>
          <w:rFonts w:cs="Times New Roman"/>
          <w:sz w:val="24"/>
          <w:szCs w:val="24"/>
        </w:rPr>
        <w:t>collegial governance of a stewardship nature (</w:t>
      </w:r>
      <w:proofErr w:type="spellStart"/>
      <w:r w:rsidR="003E5535" w:rsidRPr="00126B2F">
        <w:rPr>
          <w:rFonts w:cs="Times New Roman"/>
          <w:sz w:val="24"/>
          <w:szCs w:val="24"/>
        </w:rPr>
        <w:t>Duderstadt</w:t>
      </w:r>
      <w:proofErr w:type="spellEnd"/>
      <w:r w:rsidR="003E5535" w:rsidRPr="00126B2F">
        <w:rPr>
          <w:rFonts w:cs="Times New Roman"/>
          <w:sz w:val="24"/>
          <w:szCs w:val="24"/>
        </w:rPr>
        <w:t xml:space="preserve">, 2004).  Until the 1990s, academics were the primary collegial decision makers and VCs were </w:t>
      </w:r>
      <w:r w:rsidR="003E5535" w:rsidRPr="00126B2F">
        <w:rPr>
          <w:rFonts w:cs="Times New Roman"/>
          <w:i/>
          <w:sz w:val="24"/>
          <w:szCs w:val="24"/>
        </w:rPr>
        <w:t xml:space="preserve">primus inter pares </w:t>
      </w:r>
      <w:r w:rsidR="00531200" w:rsidRPr="00126B2F">
        <w:rPr>
          <w:rFonts w:cs="Times New Roman"/>
          <w:sz w:val="24"/>
          <w:szCs w:val="24"/>
        </w:rPr>
        <w:t>(</w:t>
      </w:r>
      <w:r w:rsidR="008745AC" w:rsidRPr="00126B2F">
        <w:rPr>
          <w:rFonts w:cs="Times New Roman"/>
          <w:sz w:val="24"/>
          <w:szCs w:val="24"/>
        </w:rPr>
        <w:t xml:space="preserve">Marginson &amp; Considine 2000; Shattock 2017). </w:t>
      </w:r>
      <w:r w:rsidR="003E5535" w:rsidRPr="00126B2F">
        <w:rPr>
          <w:rFonts w:cs="Times New Roman"/>
          <w:sz w:val="24"/>
          <w:szCs w:val="24"/>
        </w:rPr>
        <w:t xml:space="preserve">As these universities became increasingly </w:t>
      </w:r>
      <w:proofErr w:type="spellStart"/>
      <w:r w:rsidR="003E5535" w:rsidRPr="00126B2F">
        <w:rPr>
          <w:rFonts w:cs="Times New Roman"/>
          <w:sz w:val="24"/>
          <w:szCs w:val="24"/>
        </w:rPr>
        <w:t>corporatised</w:t>
      </w:r>
      <w:proofErr w:type="spellEnd"/>
      <w:r w:rsidR="003E5535" w:rsidRPr="00126B2F">
        <w:rPr>
          <w:rFonts w:cs="Times New Roman"/>
          <w:sz w:val="24"/>
          <w:szCs w:val="24"/>
        </w:rPr>
        <w:t xml:space="preserve"> and </w:t>
      </w:r>
      <w:proofErr w:type="spellStart"/>
      <w:r w:rsidR="003E5535" w:rsidRPr="00126B2F">
        <w:rPr>
          <w:rFonts w:cs="Times New Roman"/>
          <w:sz w:val="24"/>
          <w:szCs w:val="24"/>
        </w:rPr>
        <w:t>marketised</w:t>
      </w:r>
      <w:proofErr w:type="spellEnd"/>
      <w:r w:rsidR="003E5535" w:rsidRPr="00126B2F">
        <w:rPr>
          <w:rFonts w:cs="Times New Roman"/>
          <w:sz w:val="24"/>
          <w:szCs w:val="24"/>
        </w:rPr>
        <w:t xml:space="preserve">, they adopted the </w:t>
      </w:r>
      <w:proofErr w:type="spellStart"/>
      <w:r w:rsidR="003E5535" w:rsidRPr="00126B2F">
        <w:rPr>
          <w:rFonts w:cs="Times New Roman"/>
          <w:sz w:val="24"/>
          <w:szCs w:val="24"/>
        </w:rPr>
        <w:t>rhetorics</w:t>
      </w:r>
      <w:proofErr w:type="spellEnd"/>
      <w:r w:rsidR="003E5535" w:rsidRPr="00126B2F">
        <w:rPr>
          <w:rFonts w:cs="Times New Roman"/>
          <w:sz w:val="24"/>
          <w:szCs w:val="24"/>
        </w:rPr>
        <w:t xml:space="preserve"> and logics of </w:t>
      </w:r>
      <w:r w:rsidR="00430222" w:rsidRPr="00126B2F">
        <w:rPr>
          <w:rFonts w:cs="Times New Roman"/>
          <w:sz w:val="24"/>
          <w:szCs w:val="24"/>
        </w:rPr>
        <w:t xml:space="preserve">market-based </w:t>
      </w:r>
      <w:r w:rsidR="003E5535" w:rsidRPr="00126B2F">
        <w:rPr>
          <w:rFonts w:cs="Times New Roman"/>
          <w:sz w:val="24"/>
          <w:szCs w:val="24"/>
        </w:rPr>
        <w:t xml:space="preserve">agency governance. </w:t>
      </w:r>
      <w:r w:rsidR="00430222" w:rsidRPr="00126B2F">
        <w:rPr>
          <w:rFonts w:cs="Times New Roman"/>
          <w:sz w:val="24"/>
          <w:szCs w:val="24"/>
        </w:rPr>
        <w:t>In particular, g</w:t>
      </w:r>
      <w:r w:rsidR="003E5535" w:rsidRPr="00126B2F">
        <w:rPr>
          <w:rFonts w:cs="Times New Roman"/>
          <w:sz w:val="24"/>
          <w:szCs w:val="24"/>
        </w:rPr>
        <w:t xml:space="preserve">overning </w:t>
      </w:r>
      <w:r w:rsidR="00ED5BD2" w:rsidRPr="00126B2F">
        <w:rPr>
          <w:rFonts w:cs="Times New Roman"/>
          <w:sz w:val="24"/>
          <w:szCs w:val="24"/>
        </w:rPr>
        <w:t>councils</w:t>
      </w:r>
      <w:r w:rsidR="003E5535" w:rsidRPr="00126B2F">
        <w:rPr>
          <w:rFonts w:cs="Times New Roman"/>
          <w:sz w:val="24"/>
          <w:szCs w:val="24"/>
        </w:rPr>
        <w:t xml:space="preserve"> and, exogenously, governments came to assume principal-like roles with VCs as their agents (</w:t>
      </w:r>
      <w:proofErr w:type="spellStart"/>
      <w:r w:rsidR="003E5535" w:rsidRPr="00126B2F">
        <w:rPr>
          <w:rFonts w:cs="Times New Roman"/>
          <w:sz w:val="24"/>
          <w:szCs w:val="24"/>
        </w:rPr>
        <w:t>Kivistö</w:t>
      </w:r>
      <w:proofErr w:type="spellEnd"/>
      <w:r w:rsidR="003E5535" w:rsidRPr="00126B2F">
        <w:rPr>
          <w:rFonts w:cs="Times New Roman"/>
          <w:sz w:val="24"/>
          <w:szCs w:val="24"/>
        </w:rPr>
        <w:t xml:space="preserve">, 2008). </w:t>
      </w:r>
    </w:p>
    <w:p w14:paraId="70AB34A7" w14:textId="77777777" w:rsidR="003E5535" w:rsidRPr="00126B2F" w:rsidRDefault="003E5535" w:rsidP="00F7771F">
      <w:pPr>
        <w:spacing w:after="0" w:line="360" w:lineRule="auto"/>
        <w:rPr>
          <w:rFonts w:cs="Times New Roman"/>
          <w:color w:val="FF0000"/>
          <w:sz w:val="24"/>
          <w:szCs w:val="24"/>
        </w:rPr>
      </w:pPr>
    </w:p>
    <w:p w14:paraId="12B7DA16" w14:textId="3D4CFFD9" w:rsidR="00DF054E" w:rsidRPr="00126B2F" w:rsidRDefault="00DF054E" w:rsidP="00F7771F">
      <w:pPr>
        <w:spacing w:after="0" w:line="360" w:lineRule="auto"/>
        <w:rPr>
          <w:rFonts w:cs="Times New Roman"/>
          <w:color w:val="FF0000"/>
          <w:sz w:val="24"/>
          <w:szCs w:val="24"/>
          <w:u w:val="single"/>
        </w:rPr>
      </w:pPr>
      <w:r w:rsidRPr="00126B2F">
        <w:rPr>
          <w:rFonts w:cs="Times New Roman"/>
          <w:b/>
          <w:i/>
          <w:sz w:val="24"/>
          <w:szCs w:val="24"/>
        </w:rPr>
        <w:t>Australia</w:t>
      </w:r>
    </w:p>
    <w:p w14:paraId="2360BC57" w14:textId="64EE0252" w:rsidR="00D630CA" w:rsidRPr="00126B2F" w:rsidRDefault="003A4028" w:rsidP="00F7771F">
      <w:pPr>
        <w:autoSpaceDE w:val="0"/>
        <w:autoSpaceDN w:val="0"/>
        <w:adjustRightInd w:val="0"/>
        <w:spacing w:after="0" w:line="360" w:lineRule="auto"/>
        <w:rPr>
          <w:rFonts w:cs="Times New Roman"/>
          <w:sz w:val="24"/>
          <w:szCs w:val="24"/>
        </w:rPr>
      </w:pPr>
      <w:r w:rsidRPr="00126B2F">
        <w:rPr>
          <w:rFonts w:cs="Times New Roman"/>
          <w:sz w:val="24"/>
          <w:szCs w:val="24"/>
        </w:rPr>
        <w:t>B</w:t>
      </w:r>
      <w:r w:rsidR="009877B1" w:rsidRPr="00126B2F">
        <w:rPr>
          <w:rFonts w:cs="Times New Roman"/>
          <w:sz w:val="24"/>
          <w:szCs w:val="24"/>
        </w:rPr>
        <w:t>y 20</w:t>
      </w:r>
      <w:r w:rsidR="005C381B">
        <w:rPr>
          <w:rFonts w:cs="Times New Roman"/>
          <w:sz w:val="24"/>
          <w:szCs w:val="24"/>
        </w:rPr>
        <w:t>20</w:t>
      </w:r>
      <w:r w:rsidR="009877B1" w:rsidRPr="00126B2F">
        <w:rPr>
          <w:rFonts w:cs="Times New Roman"/>
          <w:sz w:val="24"/>
          <w:szCs w:val="24"/>
        </w:rPr>
        <w:t xml:space="preserve"> Australia had 3</w:t>
      </w:r>
      <w:r w:rsidR="008745AC" w:rsidRPr="00126B2F">
        <w:rPr>
          <w:rFonts w:cs="Times New Roman"/>
          <w:sz w:val="24"/>
          <w:szCs w:val="24"/>
        </w:rPr>
        <w:t>9</w:t>
      </w:r>
      <w:r w:rsidR="009877B1" w:rsidRPr="00126B2F">
        <w:rPr>
          <w:rFonts w:cs="Times New Roman"/>
          <w:sz w:val="24"/>
          <w:szCs w:val="24"/>
        </w:rPr>
        <w:t xml:space="preserve"> </w:t>
      </w:r>
      <w:r w:rsidR="00D630CA" w:rsidRPr="00126B2F">
        <w:rPr>
          <w:rFonts w:cs="Times New Roman"/>
          <w:sz w:val="24"/>
          <w:szCs w:val="24"/>
        </w:rPr>
        <w:t xml:space="preserve">self-governing and self-owning </w:t>
      </w:r>
      <w:r w:rsidR="009877B1" w:rsidRPr="00126B2F">
        <w:rPr>
          <w:rFonts w:cs="Times New Roman"/>
          <w:sz w:val="24"/>
          <w:szCs w:val="24"/>
        </w:rPr>
        <w:t>publicly funded universities. In the first half of the 20</w:t>
      </w:r>
      <w:r w:rsidR="009877B1" w:rsidRPr="00126B2F">
        <w:rPr>
          <w:rFonts w:cs="Times New Roman"/>
          <w:sz w:val="24"/>
          <w:szCs w:val="24"/>
          <w:vertAlign w:val="superscript"/>
        </w:rPr>
        <w:t>th</w:t>
      </w:r>
      <w:r w:rsidR="009877B1" w:rsidRPr="00126B2F">
        <w:rPr>
          <w:rFonts w:cs="Times New Roman"/>
          <w:sz w:val="24"/>
          <w:szCs w:val="24"/>
        </w:rPr>
        <w:t xml:space="preserve"> century,</w:t>
      </w:r>
      <w:r w:rsidR="00207FAD" w:rsidRPr="00126B2F">
        <w:rPr>
          <w:rFonts w:cs="Times New Roman"/>
          <w:sz w:val="24"/>
          <w:szCs w:val="24"/>
        </w:rPr>
        <w:t xml:space="preserve"> they</w:t>
      </w:r>
      <w:r w:rsidR="009877B1" w:rsidRPr="00126B2F">
        <w:rPr>
          <w:rFonts w:cs="Times New Roman"/>
          <w:sz w:val="24"/>
          <w:szCs w:val="24"/>
        </w:rPr>
        <w:t xml:space="preserve"> were largely funded by the states, supplemented by student fees </w:t>
      </w:r>
      <w:r w:rsidR="009877B1" w:rsidRPr="00126B2F">
        <w:rPr>
          <w:rFonts w:cs="Times New Roman"/>
          <w:noProof/>
          <w:sz w:val="24"/>
          <w:szCs w:val="24"/>
        </w:rPr>
        <w:t>(Forsyth 2014)</w:t>
      </w:r>
      <w:r w:rsidR="009877B1" w:rsidRPr="00126B2F">
        <w:rPr>
          <w:rFonts w:cs="Times New Roman"/>
          <w:sz w:val="24"/>
          <w:szCs w:val="24"/>
        </w:rPr>
        <w:t xml:space="preserve">. In 1957 the Murray Report found </w:t>
      </w:r>
      <w:r w:rsidR="005C381B">
        <w:rPr>
          <w:rFonts w:cs="Times New Roman"/>
          <w:sz w:val="24"/>
          <w:szCs w:val="24"/>
        </w:rPr>
        <w:t xml:space="preserve">that </w:t>
      </w:r>
      <w:r w:rsidR="008745AC" w:rsidRPr="00126B2F">
        <w:rPr>
          <w:rFonts w:cs="Times New Roman"/>
          <w:sz w:val="24"/>
          <w:szCs w:val="24"/>
        </w:rPr>
        <w:t>Australian universities</w:t>
      </w:r>
      <w:r w:rsidR="009877B1" w:rsidRPr="00126B2F">
        <w:rPr>
          <w:rFonts w:cs="Times New Roman"/>
          <w:sz w:val="24"/>
          <w:szCs w:val="24"/>
        </w:rPr>
        <w:t xml:space="preserve"> were grossly under-resourced and recommended the establishment of a </w:t>
      </w:r>
      <w:r w:rsidR="008745AC" w:rsidRPr="00126B2F">
        <w:rPr>
          <w:rFonts w:cs="Times New Roman"/>
          <w:sz w:val="24"/>
          <w:szCs w:val="24"/>
        </w:rPr>
        <w:t>g</w:t>
      </w:r>
      <w:r w:rsidR="009877B1" w:rsidRPr="00126B2F">
        <w:rPr>
          <w:rFonts w:cs="Times New Roman"/>
          <w:sz w:val="24"/>
          <w:szCs w:val="24"/>
        </w:rPr>
        <w:t xml:space="preserve">rants </w:t>
      </w:r>
      <w:r w:rsidR="008745AC" w:rsidRPr="00126B2F">
        <w:rPr>
          <w:rFonts w:cs="Times New Roman"/>
          <w:sz w:val="24"/>
          <w:szCs w:val="24"/>
        </w:rPr>
        <w:t>c</w:t>
      </w:r>
      <w:r w:rsidR="009877B1" w:rsidRPr="00126B2F">
        <w:rPr>
          <w:rFonts w:cs="Times New Roman"/>
          <w:sz w:val="24"/>
          <w:szCs w:val="24"/>
        </w:rPr>
        <w:t xml:space="preserve">ommission to advise on funding requirements </w:t>
      </w:r>
      <w:r w:rsidR="009877B1" w:rsidRPr="00126B2F">
        <w:rPr>
          <w:rFonts w:cs="Times New Roman"/>
          <w:noProof/>
          <w:sz w:val="24"/>
          <w:szCs w:val="24"/>
        </w:rPr>
        <w:t xml:space="preserve">(Committee on Australian </w:t>
      </w:r>
      <w:r w:rsidR="009877B1" w:rsidRPr="005C381B">
        <w:rPr>
          <w:rFonts w:cs="Times New Roman"/>
          <w:noProof/>
          <w:sz w:val="24"/>
          <w:szCs w:val="24"/>
        </w:rPr>
        <w:t>Universities</w:t>
      </w:r>
      <w:r w:rsidR="00E57B01" w:rsidRPr="005C381B">
        <w:rPr>
          <w:rFonts w:cs="Times New Roman"/>
          <w:noProof/>
          <w:sz w:val="24"/>
          <w:szCs w:val="24"/>
        </w:rPr>
        <w:t>,</w:t>
      </w:r>
      <w:r w:rsidR="009877B1" w:rsidRPr="005C381B">
        <w:rPr>
          <w:rFonts w:cs="Times New Roman"/>
          <w:noProof/>
          <w:sz w:val="24"/>
          <w:szCs w:val="24"/>
        </w:rPr>
        <w:t xml:space="preserve"> 19</w:t>
      </w:r>
      <w:r w:rsidR="005C381B" w:rsidRPr="005C381B">
        <w:rPr>
          <w:rFonts w:cs="Times New Roman"/>
          <w:noProof/>
          <w:sz w:val="24"/>
          <w:szCs w:val="24"/>
        </w:rPr>
        <w:t>5</w:t>
      </w:r>
      <w:r w:rsidR="009877B1" w:rsidRPr="005C381B">
        <w:rPr>
          <w:rFonts w:cs="Times New Roman"/>
          <w:noProof/>
          <w:sz w:val="24"/>
          <w:szCs w:val="24"/>
        </w:rPr>
        <w:t>7)</w:t>
      </w:r>
      <w:r w:rsidR="009877B1" w:rsidRPr="005C381B">
        <w:rPr>
          <w:rFonts w:cs="Times New Roman"/>
          <w:sz w:val="24"/>
          <w:szCs w:val="24"/>
        </w:rPr>
        <w:t>.</w:t>
      </w:r>
      <w:r w:rsidR="009877B1" w:rsidRPr="00126B2F">
        <w:rPr>
          <w:rFonts w:cs="Times New Roman"/>
          <w:sz w:val="24"/>
          <w:szCs w:val="24"/>
        </w:rPr>
        <w:t xml:space="preserve"> Murray also recommended that universities be funded by specifically targeted recurrent triennial grants from the federal</w:t>
      </w:r>
      <w:r w:rsidR="000C3883" w:rsidRPr="00126B2F">
        <w:rPr>
          <w:rFonts w:cs="Times New Roman"/>
          <w:sz w:val="24"/>
          <w:szCs w:val="24"/>
        </w:rPr>
        <w:t xml:space="preserve"> </w:t>
      </w:r>
      <w:r w:rsidR="006D3B61" w:rsidRPr="00126B2F">
        <w:rPr>
          <w:rFonts w:cs="Times New Roman"/>
          <w:sz w:val="24"/>
          <w:szCs w:val="24"/>
        </w:rPr>
        <w:t>g</w:t>
      </w:r>
      <w:r w:rsidR="009877B1" w:rsidRPr="00126B2F">
        <w:rPr>
          <w:rFonts w:cs="Times New Roman"/>
          <w:sz w:val="24"/>
          <w:szCs w:val="24"/>
        </w:rPr>
        <w:t xml:space="preserve">overnment, distributed via the states. </w:t>
      </w:r>
      <w:r w:rsidR="00207FAD" w:rsidRPr="00126B2F">
        <w:rPr>
          <w:rFonts w:cs="Times New Roman"/>
          <w:sz w:val="24"/>
          <w:szCs w:val="24"/>
        </w:rPr>
        <w:t xml:space="preserve">Consequently, </w:t>
      </w:r>
      <w:r w:rsidR="009877B1" w:rsidRPr="00126B2F">
        <w:rPr>
          <w:rFonts w:cs="Times New Roman"/>
          <w:sz w:val="24"/>
          <w:szCs w:val="24"/>
        </w:rPr>
        <w:t xml:space="preserve">the </w:t>
      </w:r>
      <w:r w:rsidR="000C3883" w:rsidRPr="00126B2F">
        <w:rPr>
          <w:rFonts w:cs="Times New Roman"/>
          <w:sz w:val="24"/>
          <w:szCs w:val="24"/>
        </w:rPr>
        <w:t>federal g</w:t>
      </w:r>
      <w:r w:rsidR="00207FAD" w:rsidRPr="00126B2F">
        <w:rPr>
          <w:rFonts w:cs="Times New Roman"/>
          <w:sz w:val="24"/>
          <w:szCs w:val="24"/>
        </w:rPr>
        <w:t xml:space="preserve">overnment </w:t>
      </w:r>
      <w:r w:rsidR="009877B1" w:rsidRPr="00126B2F">
        <w:rPr>
          <w:rFonts w:cs="Times New Roman"/>
          <w:sz w:val="24"/>
          <w:szCs w:val="24"/>
        </w:rPr>
        <w:t>established the Australian Universities Commission</w:t>
      </w:r>
      <w:r w:rsidR="000C3883" w:rsidRPr="00126B2F">
        <w:rPr>
          <w:rFonts w:cs="Times New Roman"/>
          <w:sz w:val="24"/>
          <w:szCs w:val="24"/>
        </w:rPr>
        <w:t>,</w:t>
      </w:r>
      <w:r w:rsidR="009877B1" w:rsidRPr="00126B2F">
        <w:rPr>
          <w:rFonts w:cs="Times New Roman"/>
          <w:sz w:val="24"/>
          <w:szCs w:val="24"/>
        </w:rPr>
        <w:t xml:space="preserve"> which centrally determined ‘[p]</w:t>
      </w:r>
      <w:proofErr w:type="spellStart"/>
      <w:r w:rsidR="009877B1" w:rsidRPr="00126B2F">
        <w:rPr>
          <w:rFonts w:cs="Times New Roman"/>
          <w:sz w:val="24"/>
          <w:szCs w:val="24"/>
        </w:rPr>
        <w:t>retty</w:t>
      </w:r>
      <w:proofErr w:type="spellEnd"/>
      <w:r w:rsidR="009877B1" w:rsidRPr="00126B2F">
        <w:rPr>
          <w:rFonts w:cs="Times New Roman"/>
          <w:sz w:val="24"/>
          <w:szCs w:val="24"/>
        </w:rPr>
        <w:t xml:space="preserve"> much everything’ on funding </w:t>
      </w:r>
      <w:r w:rsidR="009877B1" w:rsidRPr="00126B2F">
        <w:rPr>
          <w:rFonts w:cs="Times New Roman"/>
          <w:noProof/>
          <w:sz w:val="24"/>
          <w:szCs w:val="24"/>
        </w:rPr>
        <w:t>(Forsyth 2014, p. 129)</w:t>
      </w:r>
      <w:r w:rsidR="009877B1" w:rsidRPr="00126B2F">
        <w:rPr>
          <w:rFonts w:cs="Times New Roman"/>
          <w:sz w:val="24"/>
          <w:szCs w:val="24"/>
        </w:rPr>
        <w:t xml:space="preserve">. Universities’ academic work at this time was largely free from government interference and the cultural and intellectual contribution universities made was highly valued </w:t>
      </w:r>
      <w:r w:rsidR="009877B1" w:rsidRPr="00126B2F">
        <w:rPr>
          <w:rFonts w:cs="Times New Roman"/>
          <w:noProof/>
          <w:sz w:val="24"/>
          <w:szCs w:val="24"/>
        </w:rPr>
        <w:t>(Blackmore, Brennan &amp; Zipin</w:t>
      </w:r>
      <w:r w:rsidR="00E57B01" w:rsidRPr="00126B2F">
        <w:rPr>
          <w:rFonts w:cs="Times New Roman"/>
          <w:noProof/>
          <w:sz w:val="24"/>
          <w:szCs w:val="24"/>
        </w:rPr>
        <w:t>,</w:t>
      </w:r>
      <w:r w:rsidR="009877B1" w:rsidRPr="00126B2F">
        <w:rPr>
          <w:rFonts w:cs="Times New Roman"/>
          <w:noProof/>
          <w:sz w:val="24"/>
          <w:szCs w:val="24"/>
        </w:rPr>
        <w:t xml:space="preserve"> 2010)</w:t>
      </w:r>
      <w:r w:rsidR="009877B1" w:rsidRPr="00126B2F">
        <w:rPr>
          <w:rFonts w:cs="Times New Roman"/>
          <w:sz w:val="24"/>
          <w:szCs w:val="24"/>
        </w:rPr>
        <w:t xml:space="preserve">. </w:t>
      </w:r>
    </w:p>
    <w:p w14:paraId="3DD21E4C" w14:textId="77777777" w:rsidR="00D630CA" w:rsidRPr="00126B2F" w:rsidRDefault="00D630CA" w:rsidP="00F7771F">
      <w:pPr>
        <w:autoSpaceDE w:val="0"/>
        <w:autoSpaceDN w:val="0"/>
        <w:adjustRightInd w:val="0"/>
        <w:spacing w:after="0" w:line="360" w:lineRule="auto"/>
        <w:rPr>
          <w:rFonts w:cs="Times New Roman"/>
          <w:sz w:val="24"/>
          <w:szCs w:val="24"/>
        </w:rPr>
      </w:pPr>
    </w:p>
    <w:p w14:paraId="2BA43781" w14:textId="17314043" w:rsidR="00DF054E" w:rsidRPr="00126B2F" w:rsidRDefault="00D630CA" w:rsidP="00F7771F">
      <w:pPr>
        <w:spacing w:after="0" w:line="360" w:lineRule="auto"/>
        <w:rPr>
          <w:rFonts w:cs="Times New Roman"/>
          <w:sz w:val="24"/>
          <w:szCs w:val="24"/>
        </w:rPr>
      </w:pPr>
      <w:r w:rsidRPr="00126B2F">
        <w:rPr>
          <w:rFonts w:cs="Times New Roman"/>
          <w:sz w:val="24"/>
          <w:szCs w:val="24"/>
        </w:rPr>
        <w:t>I</w:t>
      </w:r>
      <w:r w:rsidR="009877B1" w:rsidRPr="00126B2F">
        <w:rPr>
          <w:rFonts w:cs="Times New Roman"/>
          <w:sz w:val="24"/>
          <w:szCs w:val="24"/>
        </w:rPr>
        <w:t xml:space="preserve">n 1983, the Hawke government’s education minister, John Dawkins, commenced ‘reduction of </w:t>
      </w:r>
      <w:r w:rsidR="009877B1" w:rsidRPr="00126B2F">
        <w:rPr>
          <w:rFonts w:cs="Times New Roman"/>
          <w:i/>
          <w:sz w:val="24"/>
          <w:szCs w:val="24"/>
        </w:rPr>
        <w:t>direct</w:t>
      </w:r>
      <w:r w:rsidR="009877B1" w:rsidRPr="00126B2F">
        <w:rPr>
          <w:rFonts w:cs="Times New Roman"/>
          <w:sz w:val="24"/>
          <w:szCs w:val="24"/>
        </w:rPr>
        <w:t xml:space="preserve"> [state] control of the internal business of higher education institutions’ </w:t>
      </w:r>
      <w:r w:rsidR="009877B1" w:rsidRPr="00126B2F">
        <w:rPr>
          <w:rFonts w:cs="Times New Roman"/>
          <w:noProof/>
          <w:sz w:val="24"/>
          <w:szCs w:val="24"/>
        </w:rPr>
        <w:t>(Wells &amp; Martin</w:t>
      </w:r>
      <w:r w:rsidR="00E57B01" w:rsidRPr="00126B2F">
        <w:rPr>
          <w:rFonts w:cs="Times New Roman"/>
          <w:noProof/>
          <w:sz w:val="24"/>
          <w:szCs w:val="24"/>
        </w:rPr>
        <w:t>,</w:t>
      </w:r>
      <w:r w:rsidR="009877B1" w:rsidRPr="00126B2F">
        <w:rPr>
          <w:rFonts w:cs="Times New Roman"/>
          <w:noProof/>
          <w:sz w:val="24"/>
          <w:szCs w:val="24"/>
        </w:rPr>
        <w:t xml:space="preserve"> 2013, p. 203, emphasis original). </w:t>
      </w:r>
      <w:r w:rsidR="009877B1" w:rsidRPr="00126B2F">
        <w:rPr>
          <w:rFonts w:cs="Times New Roman"/>
          <w:sz w:val="24"/>
          <w:szCs w:val="24"/>
        </w:rPr>
        <w:t xml:space="preserve">The Dawkins reforms signalled a ‘Thatcher-like commodification of the tertiary education system’ (Pusey 1991, p. 148). VCs were to serve </w:t>
      </w:r>
      <w:r w:rsidR="009877B1" w:rsidRPr="00126B2F">
        <w:rPr>
          <w:rFonts w:cs="Times New Roman"/>
          <w:sz w:val="24"/>
          <w:szCs w:val="24"/>
        </w:rPr>
        <w:lastRenderedPageBreak/>
        <w:t xml:space="preserve">as chief executive officers </w:t>
      </w:r>
      <w:r w:rsidR="008D688B" w:rsidRPr="00126B2F">
        <w:rPr>
          <w:rFonts w:cs="Times New Roman"/>
          <w:sz w:val="24"/>
          <w:szCs w:val="24"/>
        </w:rPr>
        <w:t xml:space="preserve">of </w:t>
      </w:r>
      <w:r w:rsidR="00F8327D" w:rsidRPr="00126B2F">
        <w:rPr>
          <w:rFonts w:cs="Times New Roman"/>
          <w:sz w:val="24"/>
          <w:szCs w:val="24"/>
        </w:rPr>
        <w:t xml:space="preserve">universities </w:t>
      </w:r>
      <w:r w:rsidR="005C381B">
        <w:rPr>
          <w:rFonts w:cs="Times New Roman"/>
          <w:sz w:val="24"/>
          <w:szCs w:val="24"/>
        </w:rPr>
        <w:t xml:space="preserve">that were, in turn, </w:t>
      </w:r>
      <w:r w:rsidR="008D688B" w:rsidRPr="00126B2F">
        <w:rPr>
          <w:rFonts w:cs="Times New Roman"/>
          <w:sz w:val="24"/>
          <w:szCs w:val="24"/>
        </w:rPr>
        <w:t xml:space="preserve">expected to be more business-like and entrepreneurial </w:t>
      </w:r>
      <w:r w:rsidR="009877B1" w:rsidRPr="00126B2F">
        <w:rPr>
          <w:rFonts w:cs="Times New Roman"/>
          <w:sz w:val="24"/>
          <w:szCs w:val="24"/>
        </w:rPr>
        <w:t xml:space="preserve">(Harman &amp; </w:t>
      </w:r>
      <w:proofErr w:type="spellStart"/>
      <w:r w:rsidR="009877B1" w:rsidRPr="00126B2F">
        <w:rPr>
          <w:rFonts w:cs="Times New Roman"/>
          <w:sz w:val="24"/>
          <w:szCs w:val="24"/>
        </w:rPr>
        <w:t>Treadgold</w:t>
      </w:r>
      <w:proofErr w:type="spellEnd"/>
      <w:r w:rsidR="00E57B01" w:rsidRPr="00126B2F">
        <w:rPr>
          <w:rFonts w:cs="Times New Roman"/>
          <w:sz w:val="24"/>
          <w:szCs w:val="24"/>
        </w:rPr>
        <w:t>,</w:t>
      </w:r>
      <w:r w:rsidR="009877B1" w:rsidRPr="00126B2F">
        <w:rPr>
          <w:rFonts w:cs="Times New Roman"/>
          <w:sz w:val="24"/>
          <w:szCs w:val="24"/>
        </w:rPr>
        <w:t xml:space="preserve"> 2007). The balance of internal power </w:t>
      </w:r>
      <w:r w:rsidR="008D688B" w:rsidRPr="00126B2F">
        <w:rPr>
          <w:rFonts w:cs="Times New Roman"/>
          <w:sz w:val="24"/>
          <w:szCs w:val="24"/>
        </w:rPr>
        <w:t xml:space="preserve">shifted </w:t>
      </w:r>
      <w:r w:rsidR="009877B1" w:rsidRPr="00126B2F">
        <w:rPr>
          <w:rFonts w:cs="Times New Roman"/>
          <w:sz w:val="24"/>
          <w:szCs w:val="24"/>
        </w:rPr>
        <w:t xml:space="preserve">away from academic senates </w:t>
      </w:r>
      <w:r w:rsidR="008D688B" w:rsidRPr="00126B2F">
        <w:rPr>
          <w:rFonts w:cs="Times New Roman"/>
          <w:sz w:val="24"/>
          <w:szCs w:val="24"/>
        </w:rPr>
        <w:t xml:space="preserve">to university councils which </w:t>
      </w:r>
      <w:r w:rsidR="009877B1" w:rsidRPr="00126B2F">
        <w:rPr>
          <w:rFonts w:cs="Times New Roman"/>
          <w:sz w:val="24"/>
          <w:szCs w:val="24"/>
        </w:rPr>
        <w:t xml:space="preserve">became smaller and focused on strategic and financial matters </w:t>
      </w:r>
      <w:r w:rsidR="009877B1" w:rsidRPr="00126B2F">
        <w:rPr>
          <w:rFonts w:cs="Times New Roman"/>
          <w:noProof/>
          <w:sz w:val="24"/>
          <w:szCs w:val="24"/>
        </w:rPr>
        <w:t>(</w:t>
      </w:r>
      <w:r w:rsidR="008D688B" w:rsidRPr="00126B2F">
        <w:rPr>
          <w:rFonts w:cs="Times New Roman"/>
          <w:noProof/>
          <w:sz w:val="24"/>
          <w:szCs w:val="24"/>
        </w:rPr>
        <w:t>Rowlands, 2017</w:t>
      </w:r>
      <w:r w:rsidR="009877B1" w:rsidRPr="00126B2F">
        <w:rPr>
          <w:rFonts w:cs="Times New Roman"/>
          <w:noProof/>
          <w:sz w:val="24"/>
          <w:szCs w:val="24"/>
        </w:rPr>
        <w:t>)</w:t>
      </w:r>
      <w:r w:rsidR="009877B1" w:rsidRPr="00126B2F">
        <w:rPr>
          <w:rFonts w:cs="Times New Roman"/>
          <w:sz w:val="24"/>
          <w:szCs w:val="24"/>
        </w:rPr>
        <w:t xml:space="preserve">. </w:t>
      </w:r>
      <w:r w:rsidR="008D688B" w:rsidRPr="00126B2F">
        <w:rPr>
          <w:rFonts w:cs="Times New Roman"/>
          <w:sz w:val="24"/>
          <w:szCs w:val="24"/>
        </w:rPr>
        <w:t>A</w:t>
      </w:r>
      <w:r w:rsidR="009877B1" w:rsidRPr="00126B2F">
        <w:rPr>
          <w:rFonts w:cs="Times New Roman"/>
          <w:sz w:val="24"/>
          <w:szCs w:val="24"/>
        </w:rPr>
        <w:t>n ‘openly corporatist’ approach ‘</w:t>
      </w:r>
      <w:r w:rsidR="008D688B" w:rsidRPr="00126B2F">
        <w:rPr>
          <w:rFonts w:cs="Times New Roman"/>
          <w:sz w:val="24"/>
          <w:szCs w:val="24"/>
        </w:rPr>
        <w:t xml:space="preserve">to university governance was </w:t>
      </w:r>
      <w:r w:rsidR="009877B1" w:rsidRPr="00126B2F">
        <w:rPr>
          <w:rFonts w:cs="Times New Roman"/>
          <w:sz w:val="24"/>
          <w:szCs w:val="24"/>
        </w:rPr>
        <w:t>aimed at delivering greater accountability to government’</w:t>
      </w:r>
      <w:r w:rsidR="00EE47F1" w:rsidRPr="00126B2F">
        <w:rPr>
          <w:rFonts w:cs="Times New Roman"/>
          <w:sz w:val="24"/>
          <w:szCs w:val="24"/>
        </w:rPr>
        <w:t xml:space="preserve"> </w:t>
      </w:r>
      <w:r w:rsidR="009877B1" w:rsidRPr="00126B2F">
        <w:rPr>
          <w:rFonts w:cs="Times New Roman"/>
          <w:noProof/>
          <w:sz w:val="24"/>
          <w:szCs w:val="24"/>
        </w:rPr>
        <w:t>(Baird 2006, p. 37)</w:t>
      </w:r>
      <w:r w:rsidR="00EE47F1" w:rsidRPr="00126B2F">
        <w:rPr>
          <w:rFonts w:cs="Times New Roman"/>
          <w:noProof/>
          <w:sz w:val="24"/>
          <w:szCs w:val="24"/>
        </w:rPr>
        <w:t>. This was facilitated</w:t>
      </w:r>
      <w:r w:rsidR="008D688B" w:rsidRPr="00126B2F">
        <w:rPr>
          <w:rFonts w:cs="Times New Roman"/>
          <w:noProof/>
          <w:sz w:val="24"/>
          <w:szCs w:val="24"/>
        </w:rPr>
        <w:t>,</w:t>
      </w:r>
      <w:r w:rsidR="00EE47F1" w:rsidRPr="00126B2F">
        <w:rPr>
          <w:rFonts w:cs="Times New Roman"/>
          <w:noProof/>
          <w:sz w:val="24"/>
          <w:szCs w:val="24"/>
        </w:rPr>
        <w:t xml:space="preserve"> in part</w:t>
      </w:r>
      <w:r w:rsidR="008D688B" w:rsidRPr="00126B2F">
        <w:rPr>
          <w:rFonts w:cs="Times New Roman"/>
          <w:noProof/>
          <w:sz w:val="24"/>
          <w:szCs w:val="24"/>
        </w:rPr>
        <w:t>,</w:t>
      </w:r>
      <w:r w:rsidR="00EE47F1" w:rsidRPr="00126B2F">
        <w:rPr>
          <w:rFonts w:cs="Times New Roman"/>
          <w:noProof/>
          <w:sz w:val="24"/>
          <w:szCs w:val="24"/>
        </w:rPr>
        <w:t xml:space="preserve"> </w:t>
      </w:r>
      <w:r w:rsidR="00B67930" w:rsidRPr="00126B2F">
        <w:rPr>
          <w:rFonts w:cs="Times New Roman"/>
          <w:sz w:val="24"/>
          <w:szCs w:val="24"/>
        </w:rPr>
        <w:t>through the appointment to councils of external</w:t>
      </w:r>
      <w:r w:rsidRPr="00126B2F">
        <w:rPr>
          <w:rFonts w:cs="Times New Roman"/>
          <w:sz w:val="24"/>
          <w:szCs w:val="24"/>
        </w:rPr>
        <w:t xml:space="preserve"> members from the business world, </w:t>
      </w:r>
      <w:r w:rsidR="00EE47F1" w:rsidRPr="00126B2F">
        <w:rPr>
          <w:rFonts w:cs="Times New Roman"/>
          <w:sz w:val="24"/>
          <w:szCs w:val="24"/>
        </w:rPr>
        <w:t>with a concomitant reduction in staff and student members (</w:t>
      </w:r>
      <w:r w:rsidR="002624E9" w:rsidRPr="00126B2F">
        <w:rPr>
          <w:rFonts w:cs="Times New Roman"/>
          <w:sz w:val="24"/>
          <w:szCs w:val="24"/>
        </w:rPr>
        <w:t>Baird, 2006</w:t>
      </w:r>
      <w:r w:rsidR="00EE47F1" w:rsidRPr="00126B2F">
        <w:rPr>
          <w:rFonts w:cs="Times New Roman"/>
          <w:sz w:val="24"/>
          <w:szCs w:val="24"/>
        </w:rPr>
        <w:t xml:space="preserve">). </w:t>
      </w:r>
      <w:r w:rsidR="00C25AD0" w:rsidRPr="00126B2F">
        <w:rPr>
          <w:rFonts w:cs="Times New Roman"/>
          <w:sz w:val="24"/>
          <w:szCs w:val="24"/>
        </w:rPr>
        <w:t>F</w:t>
      </w:r>
      <w:r w:rsidR="009877B1" w:rsidRPr="00126B2F">
        <w:rPr>
          <w:rFonts w:cs="Times New Roman"/>
          <w:sz w:val="24"/>
          <w:szCs w:val="24"/>
        </w:rPr>
        <w:t>inancial exigencies considerably strengthened VCs’ and university governing bod</w:t>
      </w:r>
      <w:r w:rsidR="00D945E4">
        <w:rPr>
          <w:rFonts w:cs="Times New Roman"/>
          <w:sz w:val="24"/>
          <w:szCs w:val="24"/>
        </w:rPr>
        <w:t xml:space="preserve">ies’ </w:t>
      </w:r>
      <w:r w:rsidR="009877B1" w:rsidRPr="00126B2F">
        <w:rPr>
          <w:rFonts w:cs="Times New Roman"/>
          <w:sz w:val="24"/>
          <w:szCs w:val="24"/>
        </w:rPr>
        <w:t>power</w:t>
      </w:r>
      <w:r w:rsidR="00D945E4">
        <w:rPr>
          <w:rFonts w:cs="Times New Roman"/>
          <w:sz w:val="24"/>
          <w:szCs w:val="24"/>
        </w:rPr>
        <w:t>s</w:t>
      </w:r>
      <w:r w:rsidR="009877B1" w:rsidRPr="00126B2F">
        <w:rPr>
          <w:rFonts w:cs="Times New Roman"/>
          <w:sz w:val="24"/>
          <w:szCs w:val="24"/>
        </w:rPr>
        <w:t xml:space="preserve"> (Marginson &amp; Considine</w:t>
      </w:r>
      <w:r w:rsidR="00E57B01" w:rsidRPr="00126B2F">
        <w:rPr>
          <w:rFonts w:cs="Times New Roman"/>
          <w:sz w:val="24"/>
          <w:szCs w:val="24"/>
        </w:rPr>
        <w:t>,</w:t>
      </w:r>
      <w:r w:rsidR="009877B1" w:rsidRPr="00126B2F">
        <w:rPr>
          <w:rFonts w:cs="Times New Roman"/>
          <w:sz w:val="24"/>
          <w:szCs w:val="24"/>
        </w:rPr>
        <w:t xml:space="preserve"> 2000).</w:t>
      </w:r>
    </w:p>
    <w:p w14:paraId="61263F1B" w14:textId="77777777" w:rsidR="009877B1" w:rsidRPr="00126B2F" w:rsidRDefault="009877B1" w:rsidP="00F7771F">
      <w:pPr>
        <w:spacing w:after="0" w:line="360" w:lineRule="auto"/>
        <w:rPr>
          <w:rFonts w:cs="Times New Roman"/>
          <w:color w:val="FF0000"/>
          <w:sz w:val="24"/>
          <w:szCs w:val="24"/>
        </w:rPr>
      </w:pPr>
    </w:p>
    <w:p w14:paraId="13D82E64" w14:textId="10681AFD" w:rsidR="009877B1" w:rsidRPr="00126B2F" w:rsidRDefault="00CA4E54" w:rsidP="00F7771F">
      <w:pPr>
        <w:spacing w:after="0" w:line="360" w:lineRule="auto"/>
        <w:rPr>
          <w:rFonts w:cs="Times New Roman"/>
          <w:sz w:val="24"/>
          <w:szCs w:val="24"/>
        </w:rPr>
      </w:pPr>
      <w:r w:rsidRPr="00126B2F">
        <w:rPr>
          <w:rFonts w:cs="Times New Roman"/>
          <w:sz w:val="24"/>
          <w:szCs w:val="24"/>
        </w:rPr>
        <w:t>F</w:t>
      </w:r>
      <w:r w:rsidR="009877B1" w:rsidRPr="00126B2F">
        <w:rPr>
          <w:rFonts w:cs="Times New Roman"/>
          <w:sz w:val="24"/>
          <w:szCs w:val="24"/>
        </w:rPr>
        <w:t>rom 1974 until 1986</w:t>
      </w:r>
      <w:r w:rsidR="00E57B01" w:rsidRPr="00126B2F">
        <w:rPr>
          <w:rFonts w:cs="Times New Roman"/>
          <w:sz w:val="24"/>
          <w:szCs w:val="24"/>
        </w:rPr>
        <w:t>,</w:t>
      </w:r>
      <w:r w:rsidR="009877B1" w:rsidRPr="00126B2F">
        <w:rPr>
          <w:rFonts w:cs="Times New Roman"/>
          <w:sz w:val="24"/>
          <w:szCs w:val="24"/>
        </w:rPr>
        <w:t xml:space="preserve"> the national Academic Salaries Tribunal determined Australian academic staf</w:t>
      </w:r>
      <w:r w:rsidR="008A5B3C" w:rsidRPr="00126B2F">
        <w:rPr>
          <w:rFonts w:cs="Times New Roman"/>
          <w:sz w:val="24"/>
          <w:szCs w:val="24"/>
        </w:rPr>
        <w:t xml:space="preserve">f salaries </w:t>
      </w:r>
      <w:r w:rsidRPr="00126B2F">
        <w:rPr>
          <w:rFonts w:cs="Times New Roman"/>
          <w:sz w:val="24"/>
          <w:szCs w:val="24"/>
        </w:rPr>
        <w:t xml:space="preserve">centrally </w:t>
      </w:r>
      <w:r w:rsidR="008A5B3C" w:rsidRPr="00126B2F">
        <w:rPr>
          <w:rFonts w:cs="Times New Roman"/>
          <w:sz w:val="24"/>
          <w:szCs w:val="24"/>
        </w:rPr>
        <w:t>(Marginson</w:t>
      </w:r>
      <w:r w:rsidR="00E57B01" w:rsidRPr="00126B2F">
        <w:rPr>
          <w:rFonts w:cs="Times New Roman"/>
          <w:sz w:val="24"/>
          <w:szCs w:val="24"/>
        </w:rPr>
        <w:t>,</w:t>
      </w:r>
      <w:r w:rsidR="008A5B3C" w:rsidRPr="00126B2F">
        <w:rPr>
          <w:rFonts w:cs="Times New Roman"/>
          <w:sz w:val="24"/>
          <w:szCs w:val="24"/>
        </w:rPr>
        <w:t xml:space="preserve"> 1989).</w:t>
      </w:r>
      <w:r w:rsidRPr="00126B2F">
        <w:rPr>
          <w:rFonts w:cs="Times New Roman"/>
          <w:sz w:val="24"/>
          <w:szCs w:val="24"/>
        </w:rPr>
        <w:t xml:space="preserve"> </w:t>
      </w:r>
      <w:r w:rsidR="009877B1" w:rsidRPr="00126B2F">
        <w:rPr>
          <w:rFonts w:cs="Times New Roman"/>
          <w:sz w:val="24"/>
          <w:szCs w:val="24"/>
        </w:rPr>
        <w:t>In 1987</w:t>
      </w:r>
      <w:r w:rsidR="006D3B61" w:rsidRPr="00126B2F">
        <w:rPr>
          <w:rFonts w:cs="Times New Roman"/>
          <w:sz w:val="24"/>
          <w:szCs w:val="24"/>
        </w:rPr>
        <w:t>,</w:t>
      </w:r>
      <w:r w:rsidR="009877B1" w:rsidRPr="00126B2F">
        <w:rPr>
          <w:rFonts w:cs="Times New Roman"/>
          <w:sz w:val="24"/>
          <w:szCs w:val="24"/>
        </w:rPr>
        <w:t xml:space="preserve"> the first of a series of federal industrial </w:t>
      </w:r>
      <w:r w:rsidR="006D3B61" w:rsidRPr="00126B2F">
        <w:rPr>
          <w:rFonts w:cs="Times New Roman"/>
          <w:sz w:val="24"/>
          <w:szCs w:val="24"/>
        </w:rPr>
        <w:t xml:space="preserve">pay </w:t>
      </w:r>
      <w:r w:rsidR="009877B1" w:rsidRPr="00126B2F">
        <w:rPr>
          <w:rFonts w:cs="Times New Roman"/>
          <w:sz w:val="24"/>
          <w:szCs w:val="24"/>
        </w:rPr>
        <w:t xml:space="preserve">awards was introduced, </w:t>
      </w:r>
      <w:r w:rsidRPr="00126B2F">
        <w:rPr>
          <w:rFonts w:cs="Times New Roman"/>
          <w:sz w:val="24"/>
          <w:szCs w:val="24"/>
        </w:rPr>
        <w:t xml:space="preserve">continuing the centralised </w:t>
      </w:r>
      <w:r w:rsidR="009877B1" w:rsidRPr="00126B2F">
        <w:rPr>
          <w:rFonts w:cs="Times New Roman"/>
          <w:sz w:val="24"/>
          <w:szCs w:val="24"/>
        </w:rPr>
        <w:t xml:space="preserve">setting </w:t>
      </w:r>
      <w:r w:rsidRPr="00126B2F">
        <w:rPr>
          <w:rFonts w:cs="Times New Roman"/>
          <w:sz w:val="24"/>
          <w:szCs w:val="24"/>
        </w:rPr>
        <w:t>of</w:t>
      </w:r>
      <w:r w:rsidR="009877B1" w:rsidRPr="00126B2F">
        <w:rPr>
          <w:rFonts w:cs="Times New Roman"/>
          <w:sz w:val="24"/>
          <w:szCs w:val="24"/>
        </w:rPr>
        <w:t xml:space="preserve"> employment conditions and salaries. This system persisted until the late 1990s, when </w:t>
      </w:r>
      <w:r w:rsidRPr="00126B2F">
        <w:rPr>
          <w:rFonts w:cs="Times New Roman"/>
          <w:sz w:val="24"/>
          <w:szCs w:val="24"/>
        </w:rPr>
        <w:t xml:space="preserve">it was replaced by </w:t>
      </w:r>
      <w:r w:rsidR="009877B1" w:rsidRPr="00126B2F">
        <w:rPr>
          <w:rFonts w:cs="Times New Roman"/>
          <w:sz w:val="24"/>
          <w:szCs w:val="24"/>
        </w:rPr>
        <w:t xml:space="preserve">decentralised local enterprise bargaining, consistent with more managerialist employment practices (Anderson, Johnson, &amp; </w:t>
      </w:r>
      <w:proofErr w:type="spellStart"/>
      <w:r w:rsidR="009877B1" w:rsidRPr="00126B2F">
        <w:rPr>
          <w:rFonts w:cs="Times New Roman"/>
          <w:sz w:val="24"/>
          <w:szCs w:val="24"/>
        </w:rPr>
        <w:t>Saha</w:t>
      </w:r>
      <w:proofErr w:type="spellEnd"/>
      <w:r w:rsidR="009877B1" w:rsidRPr="00126B2F">
        <w:rPr>
          <w:rFonts w:cs="Times New Roman"/>
          <w:sz w:val="24"/>
          <w:szCs w:val="24"/>
        </w:rPr>
        <w:t>, 2002)</w:t>
      </w:r>
      <w:r w:rsidR="00C25AD0" w:rsidRPr="00126B2F">
        <w:rPr>
          <w:rFonts w:cs="Times New Roman"/>
          <w:sz w:val="24"/>
          <w:szCs w:val="24"/>
        </w:rPr>
        <w:t xml:space="preserve">, under which </w:t>
      </w:r>
      <w:r w:rsidRPr="00126B2F">
        <w:rPr>
          <w:rFonts w:cs="Times New Roman"/>
          <w:sz w:val="24"/>
          <w:szCs w:val="24"/>
        </w:rPr>
        <w:t xml:space="preserve">academic salaries </w:t>
      </w:r>
      <w:r w:rsidR="0097663D">
        <w:rPr>
          <w:rFonts w:cs="Times New Roman"/>
          <w:sz w:val="24"/>
          <w:szCs w:val="24"/>
        </w:rPr>
        <w:t>we</w:t>
      </w:r>
      <w:r w:rsidR="00C25AD0" w:rsidRPr="00126B2F">
        <w:rPr>
          <w:rFonts w:cs="Times New Roman"/>
          <w:sz w:val="24"/>
          <w:szCs w:val="24"/>
        </w:rPr>
        <w:t xml:space="preserve">re </w:t>
      </w:r>
      <w:r w:rsidRPr="00126B2F">
        <w:rPr>
          <w:rFonts w:cs="Times New Roman"/>
          <w:sz w:val="24"/>
          <w:szCs w:val="24"/>
        </w:rPr>
        <w:t xml:space="preserve">determined by each university. This shift </w:t>
      </w:r>
      <w:r w:rsidR="00ED5BD2" w:rsidRPr="00126B2F">
        <w:rPr>
          <w:rFonts w:cs="Times New Roman"/>
          <w:sz w:val="24"/>
          <w:szCs w:val="24"/>
        </w:rPr>
        <w:t>chimed with the</w:t>
      </w:r>
      <w:r w:rsidRPr="00126B2F">
        <w:rPr>
          <w:rFonts w:cs="Times New Roman"/>
          <w:sz w:val="24"/>
          <w:szCs w:val="24"/>
        </w:rPr>
        <w:t xml:space="preserve"> managerial</w:t>
      </w:r>
      <w:r w:rsidR="00430222" w:rsidRPr="00126B2F">
        <w:rPr>
          <w:rFonts w:cs="Times New Roman"/>
          <w:sz w:val="24"/>
          <w:szCs w:val="24"/>
        </w:rPr>
        <w:t xml:space="preserve">, </w:t>
      </w:r>
      <w:r w:rsidRPr="00126B2F">
        <w:rPr>
          <w:rFonts w:cs="Times New Roman"/>
          <w:sz w:val="24"/>
          <w:szCs w:val="24"/>
        </w:rPr>
        <w:t>enterprise governance that has been in place in Australian universities since the 1990s (Marginson &amp; Considine</w:t>
      </w:r>
      <w:r w:rsidR="00E57B01" w:rsidRPr="00126B2F">
        <w:rPr>
          <w:rFonts w:cs="Times New Roman"/>
          <w:sz w:val="24"/>
          <w:szCs w:val="24"/>
        </w:rPr>
        <w:t>,</w:t>
      </w:r>
      <w:r w:rsidRPr="00126B2F">
        <w:rPr>
          <w:rFonts w:cs="Times New Roman"/>
          <w:sz w:val="24"/>
          <w:szCs w:val="24"/>
        </w:rPr>
        <w:t xml:space="preserve"> 2000).</w:t>
      </w:r>
    </w:p>
    <w:p w14:paraId="67787D7B" w14:textId="77777777" w:rsidR="009877B1" w:rsidRPr="00126B2F" w:rsidRDefault="009877B1" w:rsidP="00F7771F">
      <w:pPr>
        <w:spacing w:after="0" w:line="360" w:lineRule="auto"/>
        <w:rPr>
          <w:rFonts w:cs="Times New Roman"/>
          <w:sz w:val="24"/>
          <w:szCs w:val="24"/>
        </w:rPr>
      </w:pPr>
    </w:p>
    <w:p w14:paraId="21D63563" w14:textId="577B0562" w:rsidR="00F7771F" w:rsidRDefault="008B0C61" w:rsidP="00F7771F">
      <w:pPr>
        <w:spacing w:after="0" w:line="360" w:lineRule="auto"/>
        <w:rPr>
          <w:rFonts w:cs="Times New Roman"/>
          <w:color w:val="000000"/>
          <w:sz w:val="24"/>
          <w:szCs w:val="24"/>
        </w:rPr>
      </w:pPr>
      <w:r w:rsidRPr="00126B2F">
        <w:rPr>
          <w:rFonts w:cs="Times New Roman"/>
          <w:sz w:val="24"/>
          <w:szCs w:val="24"/>
        </w:rPr>
        <w:t xml:space="preserve">Although </w:t>
      </w:r>
      <w:r w:rsidR="00A962B5" w:rsidRPr="00126B2F">
        <w:rPr>
          <w:rFonts w:cs="Times New Roman"/>
          <w:sz w:val="24"/>
          <w:szCs w:val="24"/>
        </w:rPr>
        <w:t xml:space="preserve">Australian universities </w:t>
      </w:r>
      <w:r w:rsidR="00ED5BD2" w:rsidRPr="00126B2F">
        <w:rPr>
          <w:rFonts w:cs="Times New Roman"/>
          <w:sz w:val="24"/>
          <w:szCs w:val="24"/>
        </w:rPr>
        <w:t xml:space="preserve">have always </w:t>
      </w:r>
      <w:r w:rsidR="00430222" w:rsidRPr="00126B2F">
        <w:rPr>
          <w:rFonts w:cs="Times New Roman"/>
          <w:sz w:val="24"/>
          <w:szCs w:val="24"/>
        </w:rPr>
        <w:t xml:space="preserve">set VCs’ </w:t>
      </w:r>
      <w:r w:rsidR="00E960D7">
        <w:rPr>
          <w:rFonts w:cs="Times New Roman"/>
          <w:sz w:val="24"/>
          <w:szCs w:val="24"/>
        </w:rPr>
        <w:t>remuneration</w:t>
      </w:r>
      <w:r w:rsidR="00E960D7" w:rsidRPr="00126B2F">
        <w:rPr>
          <w:rFonts w:cs="Times New Roman"/>
          <w:sz w:val="24"/>
          <w:szCs w:val="24"/>
        </w:rPr>
        <w:t xml:space="preserve"> </w:t>
      </w:r>
      <w:r w:rsidR="00430222" w:rsidRPr="00126B2F">
        <w:rPr>
          <w:rFonts w:cs="Times New Roman"/>
          <w:sz w:val="24"/>
          <w:szCs w:val="24"/>
        </w:rPr>
        <w:t>autonomously</w:t>
      </w:r>
      <w:r w:rsidRPr="00126B2F">
        <w:rPr>
          <w:rFonts w:cs="Times New Roman"/>
          <w:sz w:val="24"/>
          <w:szCs w:val="24"/>
        </w:rPr>
        <w:t xml:space="preserve">, from 1976 until 1986 the Academic Salaries Tribunal made recommendations for VC remuneration </w:t>
      </w:r>
      <w:r w:rsidR="0097663D">
        <w:rPr>
          <w:rFonts w:cs="Times New Roman"/>
          <w:sz w:val="24"/>
          <w:szCs w:val="24"/>
        </w:rPr>
        <w:t xml:space="preserve">levels </w:t>
      </w:r>
      <w:r w:rsidRPr="00126B2F">
        <w:rPr>
          <w:rFonts w:cs="Times New Roman"/>
          <w:sz w:val="24"/>
          <w:szCs w:val="24"/>
        </w:rPr>
        <w:t>using a two-tier system that differentiated the research elite from the rest</w:t>
      </w:r>
      <w:r w:rsidR="00C04454" w:rsidRPr="00126B2F">
        <w:rPr>
          <w:rFonts w:cs="Times New Roman"/>
          <w:sz w:val="24"/>
          <w:szCs w:val="24"/>
        </w:rPr>
        <w:t xml:space="preserve">. </w:t>
      </w:r>
      <w:r w:rsidRPr="00126B2F">
        <w:rPr>
          <w:rFonts w:cs="Times New Roman"/>
          <w:sz w:val="24"/>
          <w:szCs w:val="24"/>
        </w:rPr>
        <w:t>The Tribunal (1974)</w:t>
      </w:r>
      <w:r w:rsidR="0097663D">
        <w:rPr>
          <w:rFonts w:cs="Times New Roman"/>
          <w:sz w:val="24"/>
          <w:szCs w:val="24"/>
        </w:rPr>
        <w:t xml:space="preserve"> </w:t>
      </w:r>
      <w:r w:rsidR="00A962B5" w:rsidRPr="00126B2F">
        <w:rPr>
          <w:rFonts w:cs="Times New Roman"/>
          <w:sz w:val="24"/>
          <w:szCs w:val="24"/>
        </w:rPr>
        <w:t xml:space="preserve">found </w:t>
      </w:r>
      <w:r w:rsidRPr="00126B2F">
        <w:rPr>
          <w:rFonts w:cs="Times New Roman"/>
          <w:sz w:val="24"/>
          <w:szCs w:val="24"/>
        </w:rPr>
        <w:t>they were</w:t>
      </w:r>
      <w:r w:rsidR="00A962B5" w:rsidRPr="00126B2F">
        <w:rPr>
          <w:rFonts w:cs="Times New Roman"/>
          <w:sz w:val="24"/>
          <w:szCs w:val="24"/>
        </w:rPr>
        <w:t xml:space="preserve"> well paid </w:t>
      </w:r>
      <w:r w:rsidR="00B408F5" w:rsidRPr="00126B2F">
        <w:rPr>
          <w:rFonts w:cs="Times New Roman"/>
          <w:sz w:val="24"/>
          <w:szCs w:val="24"/>
        </w:rPr>
        <w:t>in relation to equivalent roles elsewhere in society</w:t>
      </w:r>
      <w:r w:rsidRPr="00126B2F">
        <w:rPr>
          <w:rFonts w:cs="Times New Roman"/>
          <w:sz w:val="24"/>
          <w:szCs w:val="24"/>
        </w:rPr>
        <w:t>, a view unpopular with t</w:t>
      </w:r>
      <w:r w:rsidR="00C04454" w:rsidRPr="00126B2F">
        <w:rPr>
          <w:rFonts w:cs="Times New Roman"/>
          <w:sz w:val="24"/>
          <w:szCs w:val="24"/>
        </w:rPr>
        <w:t xml:space="preserve">he </w:t>
      </w:r>
      <w:r w:rsidR="0097663D">
        <w:rPr>
          <w:rFonts w:cs="Times New Roman"/>
          <w:sz w:val="24"/>
          <w:szCs w:val="24"/>
        </w:rPr>
        <w:t xml:space="preserve">then </w:t>
      </w:r>
      <w:r w:rsidR="00C04454" w:rsidRPr="00126B2F">
        <w:rPr>
          <w:rFonts w:cs="Times New Roman"/>
          <w:sz w:val="24"/>
          <w:szCs w:val="24"/>
        </w:rPr>
        <w:t>Australian Vice-Chancellors’ Committee and some individual VCs</w:t>
      </w:r>
      <w:r w:rsidRPr="00126B2F">
        <w:rPr>
          <w:rFonts w:cs="Times New Roman"/>
          <w:sz w:val="24"/>
          <w:szCs w:val="24"/>
        </w:rPr>
        <w:t xml:space="preserve"> who </w:t>
      </w:r>
      <w:r w:rsidR="00C04454" w:rsidRPr="00126B2F">
        <w:rPr>
          <w:rFonts w:cs="Times New Roman"/>
          <w:sz w:val="24"/>
          <w:szCs w:val="24"/>
        </w:rPr>
        <w:t>protested that the tribunal risk</w:t>
      </w:r>
      <w:r w:rsidR="00A537E3" w:rsidRPr="00126B2F">
        <w:rPr>
          <w:rFonts w:cs="Times New Roman"/>
          <w:sz w:val="24"/>
          <w:szCs w:val="24"/>
        </w:rPr>
        <w:t>ed</w:t>
      </w:r>
      <w:r w:rsidR="00C04454" w:rsidRPr="00126B2F">
        <w:rPr>
          <w:rFonts w:cs="Times New Roman"/>
          <w:sz w:val="24"/>
          <w:szCs w:val="24"/>
        </w:rPr>
        <w:t xml:space="preserve"> undermining universities’ independence and should be abolished (Academic Salaries Tribunal</w:t>
      </w:r>
      <w:r w:rsidR="0097663D">
        <w:rPr>
          <w:rFonts w:cs="Times New Roman"/>
          <w:sz w:val="24"/>
          <w:szCs w:val="24"/>
        </w:rPr>
        <w:t>,</w:t>
      </w:r>
      <w:r w:rsidR="00C04454" w:rsidRPr="00126B2F">
        <w:rPr>
          <w:rFonts w:cs="Times New Roman"/>
          <w:sz w:val="24"/>
          <w:szCs w:val="24"/>
        </w:rPr>
        <w:t xml:space="preserve"> 1974). </w:t>
      </w:r>
      <w:r w:rsidR="009877B1" w:rsidRPr="00126B2F">
        <w:rPr>
          <w:rFonts w:cs="Times New Roman"/>
          <w:sz w:val="24"/>
          <w:szCs w:val="24"/>
        </w:rPr>
        <w:t xml:space="preserve">In response, the federal government </w:t>
      </w:r>
      <w:r w:rsidR="00C04454" w:rsidRPr="00126B2F">
        <w:rPr>
          <w:rFonts w:cs="Times New Roman"/>
          <w:sz w:val="24"/>
          <w:szCs w:val="24"/>
        </w:rPr>
        <w:t>stipulated that</w:t>
      </w:r>
      <w:r w:rsidR="009877B1" w:rsidRPr="00126B2F">
        <w:rPr>
          <w:rFonts w:cs="Times New Roman"/>
          <w:sz w:val="24"/>
          <w:szCs w:val="24"/>
        </w:rPr>
        <w:t xml:space="preserve"> any university that exceeded the recommended </w:t>
      </w:r>
      <w:r w:rsidRPr="00126B2F">
        <w:rPr>
          <w:rFonts w:cs="Times New Roman"/>
          <w:sz w:val="24"/>
          <w:szCs w:val="24"/>
        </w:rPr>
        <w:t xml:space="preserve">VC </w:t>
      </w:r>
      <w:r w:rsidR="00B408F5" w:rsidRPr="00126B2F">
        <w:rPr>
          <w:rFonts w:cs="Times New Roman"/>
          <w:sz w:val="24"/>
          <w:szCs w:val="24"/>
        </w:rPr>
        <w:t>remuneration</w:t>
      </w:r>
      <w:r w:rsidR="009877B1" w:rsidRPr="00126B2F">
        <w:rPr>
          <w:rFonts w:cs="Times New Roman"/>
          <w:sz w:val="24"/>
          <w:szCs w:val="24"/>
        </w:rPr>
        <w:t xml:space="preserve"> </w:t>
      </w:r>
      <w:r w:rsidR="00C04454" w:rsidRPr="00126B2F">
        <w:rPr>
          <w:rFonts w:cs="Times New Roman"/>
          <w:sz w:val="24"/>
          <w:szCs w:val="24"/>
        </w:rPr>
        <w:t xml:space="preserve">levels </w:t>
      </w:r>
      <w:r w:rsidR="009877B1" w:rsidRPr="00126B2F">
        <w:rPr>
          <w:rFonts w:cs="Times New Roman"/>
          <w:sz w:val="24"/>
          <w:szCs w:val="24"/>
        </w:rPr>
        <w:t xml:space="preserve">would have that amount deducted from their recurrent </w:t>
      </w:r>
      <w:r w:rsidR="000C3883" w:rsidRPr="00126B2F">
        <w:rPr>
          <w:rFonts w:cs="Times New Roman"/>
          <w:sz w:val="24"/>
          <w:szCs w:val="24"/>
        </w:rPr>
        <w:t>g</w:t>
      </w:r>
      <w:r w:rsidR="00ED5BD2" w:rsidRPr="00126B2F">
        <w:rPr>
          <w:rFonts w:cs="Times New Roman"/>
          <w:sz w:val="24"/>
          <w:szCs w:val="24"/>
        </w:rPr>
        <w:t xml:space="preserve">overnment </w:t>
      </w:r>
      <w:r w:rsidR="009877B1" w:rsidRPr="00126B2F">
        <w:rPr>
          <w:rFonts w:cs="Times New Roman"/>
          <w:sz w:val="24"/>
          <w:szCs w:val="24"/>
        </w:rPr>
        <w:t xml:space="preserve">grant. There is evidence that such deductions </w:t>
      </w:r>
      <w:r w:rsidR="0097663D">
        <w:rPr>
          <w:rFonts w:cs="Times New Roman"/>
          <w:sz w:val="24"/>
          <w:szCs w:val="24"/>
        </w:rPr>
        <w:t>were subsequently made</w:t>
      </w:r>
      <w:r w:rsidR="009877B1" w:rsidRPr="00126B2F">
        <w:rPr>
          <w:rFonts w:cs="Times New Roman"/>
          <w:sz w:val="24"/>
          <w:szCs w:val="24"/>
        </w:rPr>
        <w:t xml:space="preserve"> on a number of occasions (Academic Salaries Tribunal</w:t>
      </w:r>
      <w:r w:rsidR="00E57B01" w:rsidRPr="00126B2F">
        <w:rPr>
          <w:rFonts w:cs="Times New Roman"/>
          <w:sz w:val="24"/>
          <w:szCs w:val="24"/>
        </w:rPr>
        <w:t>,</w:t>
      </w:r>
      <w:r w:rsidR="009877B1" w:rsidRPr="00126B2F">
        <w:rPr>
          <w:rFonts w:cs="Times New Roman"/>
          <w:sz w:val="24"/>
          <w:szCs w:val="24"/>
        </w:rPr>
        <w:t xml:space="preserve"> 1985). </w:t>
      </w:r>
      <w:r w:rsidRPr="00126B2F">
        <w:rPr>
          <w:rFonts w:cs="Times New Roman"/>
          <w:color w:val="000000"/>
          <w:sz w:val="24"/>
          <w:szCs w:val="24"/>
        </w:rPr>
        <w:t>However, t</w:t>
      </w:r>
      <w:r w:rsidR="009877B1" w:rsidRPr="00126B2F">
        <w:rPr>
          <w:rFonts w:cs="Times New Roman"/>
          <w:color w:val="000000"/>
          <w:sz w:val="24"/>
          <w:szCs w:val="24"/>
        </w:rPr>
        <w:t xml:space="preserve">he demise of the Academic Salaries Tribunal </w:t>
      </w:r>
      <w:r w:rsidR="00B408F5" w:rsidRPr="00126B2F">
        <w:rPr>
          <w:rFonts w:cs="Times New Roman"/>
          <w:color w:val="000000"/>
          <w:sz w:val="24"/>
          <w:szCs w:val="24"/>
        </w:rPr>
        <w:t xml:space="preserve">in the late 1980s </w:t>
      </w:r>
      <w:r w:rsidR="00430222" w:rsidRPr="00126B2F">
        <w:rPr>
          <w:rFonts w:cs="Times New Roman"/>
          <w:color w:val="000000"/>
          <w:sz w:val="24"/>
          <w:szCs w:val="24"/>
        </w:rPr>
        <w:t>marked the end of this</w:t>
      </w:r>
      <w:r w:rsidR="00B408F5" w:rsidRPr="00126B2F">
        <w:rPr>
          <w:rFonts w:cs="Times New Roman"/>
          <w:color w:val="000000"/>
          <w:sz w:val="24"/>
          <w:szCs w:val="24"/>
        </w:rPr>
        <w:t xml:space="preserve"> central oversight</w:t>
      </w:r>
      <w:r w:rsidR="009877B1" w:rsidRPr="00126B2F">
        <w:rPr>
          <w:rFonts w:cs="Times New Roman"/>
          <w:color w:val="000000"/>
          <w:sz w:val="24"/>
          <w:szCs w:val="24"/>
        </w:rPr>
        <w:t xml:space="preserve">. </w:t>
      </w:r>
    </w:p>
    <w:p w14:paraId="4BFEA023" w14:textId="77777777" w:rsidR="00F7771F" w:rsidRDefault="00F7771F" w:rsidP="00F7771F">
      <w:pPr>
        <w:spacing w:after="0" w:line="360" w:lineRule="auto"/>
        <w:rPr>
          <w:rFonts w:cs="Times New Roman"/>
          <w:color w:val="000000"/>
          <w:sz w:val="24"/>
          <w:szCs w:val="24"/>
        </w:rPr>
      </w:pPr>
    </w:p>
    <w:p w14:paraId="3B319AAF" w14:textId="7285CF26" w:rsidR="009877B1" w:rsidRPr="00F7771F" w:rsidRDefault="00D40253" w:rsidP="00F7771F">
      <w:pPr>
        <w:spacing w:after="0" w:line="360" w:lineRule="auto"/>
        <w:rPr>
          <w:rFonts w:cs="Times New Roman"/>
          <w:color w:val="000000"/>
          <w:sz w:val="24"/>
          <w:szCs w:val="24"/>
        </w:rPr>
      </w:pPr>
      <w:r w:rsidRPr="00126B2F">
        <w:rPr>
          <w:rFonts w:cs="Times New Roman"/>
          <w:sz w:val="24"/>
          <w:szCs w:val="24"/>
        </w:rPr>
        <w:t xml:space="preserve">The role of the Academic Salaries Tribunal means that </w:t>
      </w:r>
      <w:r w:rsidR="00142605" w:rsidRPr="00126B2F">
        <w:rPr>
          <w:rFonts w:cs="Times New Roman"/>
          <w:sz w:val="24"/>
          <w:szCs w:val="24"/>
        </w:rPr>
        <w:t xml:space="preserve">Australia has a relatively well-defined point at which </w:t>
      </w:r>
      <w:r w:rsidR="00315BDB" w:rsidRPr="00126B2F">
        <w:rPr>
          <w:rFonts w:cs="Times New Roman"/>
          <w:sz w:val="24"/>
          <w:szCs w:val="24"/>
        </w:rPr>
        <w:t xml:space="preserve">VC salaries were deregulated and the effect of this can </w:t>
      </w:r>
      <w:r w:rsidR="00ED74A3" w:rsidRPr="00126B2F">
        <w:rPr>
          <w:rFonts w:cs="Times New Roman"/>
          <w:sz w:val="24"/>
          <w:szCs w:val="24"/>
        </w:rPr>
        <w:t>b</w:t>
      </w:r>
      <w:r w:rsidR="00315BDB" w:rsidRPr="00126B2F">
        <w:rPr>
          <w:rFonts w:cs="Times New Roman"/>
          <w:sz w:val="24"/>
          <w:szCs w:val="24"/>
        </w:rPr>
        <w:t xml:space="preserve">e demonstrated empirically. </w:t>
      </w:r>
      <w:r w:rsidR="009877B1" w:rsidRPr="00126B2F">
        <w:rPr>
          <w:rFonts w:cs="Times New Roman"/>
          <w:sz w:val="24"/>
          <w:szCs w:val="24"/>
        </w:rPr>
        <w:t xml:space="preserve">Table </w:t>
      </w:r>
      <w:r w:rsidR="00A537E3" w:rsidRPr="00126B2F">
        <w:rPr>
          <w:rFonts w:cs="Times New Roman"/>
          <w:sz w:val="24"/>
          <w:szCs w:val="24"/>
        </w:rPr>
        <w:t>1</w:t>
      </w:r>
      <w:r w:rsidR="00E57B01" w:rsidRPr="00126B2F">
        <w:rPr>
          <w:rFonts w:cs="Times New Roman"/>
          <w:sz w:val="24"/>
          <w:szCs w:val="24"/>
        </w:rPr>
        <w:t xml:space="preserve"> </w:t>
      </w:r>
      <w:r w:rsidR="009877B1" w:rsidRPr="00126B2F">
        <w:rPr>
          <w:rFonts w:cs="Times New Roman"/>
          <w:sz w:val="24"/>
          <w:szCs w:val="24"/>
        </w:rPr>
        <w:t xml:space="preserve">expresses </w:t>
      </w:r>
      <w:r w:rsidR="00315BDB" w:rsidRPr="00126B2F">
        <w:rPr>
          <w:rFonts w:cs="Times New Roman"/>
          <w:sz w:val="24"/>
          <w:szCs w:val="24"/>
        </w:rPr>
        <w:t xml:space="preserve">the ratio of </w:t>
      </w:r>
      <w:r w:rsidR="009877B1" w:rsidRPr="00126B2F">
        <w:rPr>
          <w:rFonts w:cs="Times New Roman"/>
          <w:sz w:val="24"/>
          <w:szCs w:val="24"/>
        </w:rPr>
        <w:t xml:space="preserve">VCs’ salaries </w:t>
      </w:r>
      <w:r w:rsidR="00315BDB" w:rsidRPr="00126B2F">
        <w:rPr>
          <w:rFonts w:cs="Times New Roman"/>
          <w:sz w:val="24"/>
          <w:szCs w:val="24"/>
        </w:rPr>
        <w:t xml:space="preserve">to the starting salary for the most junior level teaching and research academics </w:t>
      </w:r>
      <w:r w:rsidR="009877B1" w:rsidRPr="00126B2F">
        <w:rPr>
          <w:rFonts w:cs="Times New Roman"/>
          <w:sz w:val="24"/>
          <w:szCs w:val="24"/>
        </w:rPr>
        <w:t>at three Australian universities from 1975 to 20</w:t>
      </w:r>
      <w:r w:rsidR="00BE0671" w:rsidRPr="00126B2F">
        <w:rPr>
          <w:rFonts w:cs="Times New Roman"/>
          <w:sz w:val="24"/>
          <w:szCs w:val="24"/>
        </w:rPr>
        <w:t>18</w:t>
      </w:r>
      <w:r w:rsidR="009877B1" w:rsidRPr="00126B2F">
        <w:rPr>
          <w:rFonts w:cs="Times New Roman"/>
          <w:sz w:val="24"/>
          <w:szCs w:val="24"/>
        </w:rPr>
        <w:t>. These universities are broadly representative of university types in the Australian sector</w:t>
      </w:r>
      <w:r w:rsidR="00AD4538" w:rsidRPr="00126B2F">
        <w:rPr>
          <w:rStyle w:val="FootnoteReference"/>
          <w:rFonts w:cs="Times New Roman"/>
          <w:sz w:val="24"/>
          <w:szCs w:val="24"/>
        </w:rPr>
        <w:footnoteReference w:id="2"/>
      </w:r>
      <w:r w:rsidR="009877B1" w:rsidRPr="00126B2F">
        <w:rPr>
          <w:rFonts w:cs="Times New Roman"/>
          <w:sz w:val="24"/>
          <w:szCs w:val="24"/>
        </w:rPr>
        <w:t xml:space="preserve">. </w:t>
      </w:r>
      <w:r w:rsidR="009B1065" w:rsidRPr="00126B2F">
        <w:rPr>
          <w:rFonts w:cs="Times New Roman"/>
          <w:sz w:val="24"/>
          <w:szCs w:val="24"/>
        </w:rPr>
        <w:t>D</w:t>
      </w:r>
      <w:r w:rsidR="009877B1" w:rsidRPr="00126B2F">
        <w:rPr>
          <w:rFonts w:cs="Times New Roman"/>
          <w:sz w:val="24"/>
          <w:szCs w:val="24"/>
        </w:rPr>
        <w:t xml:space="preserve">ata </w:t>
      </w:r>
      <w:r w:rsidR="002D6547">
        <w:rPr>
          <w:rFonts w:cs="Times New Roman"/>
          <w:sz w:val="24"/>
          <w:szCs w:val="24"/>
        </w:rPr>
        <w:t xml:space="preserve">for this table </w:t>
      </w:r>
      <w:r w:rsidR="009877B1" w:rsidRPr="00126B2F">
        <w:rPr>
          <w:rFonts w:cs="Times New Roman"/>
          <w:sz w:val="24"/>
          <w:szCs w:val="24"/>
        </w:rPr>
        <w:t xml:space="preserve">were sourced variously from </w:t>
      </w:r>
      <w:r w:rsidR="009877B1" w:rsidRPr="00126B2F">
        <w:rPr>
          <w:rFonts w:cs="Times New Roman"/>
          <w:color w:val="000000"/>
          <w:sz w:val="24"/>
          <w:szCs w:val="24"/>
        </w:rPr>
        <w:t>Academic Salaries Tribunal reports and fro</w:t>
      </w:r>
      <w:r w:rsidR="009B1065" w:rsidRPr="00126B2F">
        <w:rPr>
          <w:rFonts w:cs="Times New Roman"/>
          <w:color w:val="000000"/>
          <w:sz w:val="24"/>
          <w:szCs w:val="24"/>
        </w:rPr>
        <w:t>m</w:t>
      </w:r>
      <w:r w:rsidR="009877B1" w:rsidRPr="00126B2F">
        <w:rPr>
          <w:rFonts w:cs="Times New Roman"/>
          <w:color w:val="000000"/>
          <w:sz w:val="24"/>
          <w:szCs w:val="24"/>
        </w:rPr>
        <w:t xml:space="preserve"> publicly available university annual reports. </w:t>
      </w:r>
      <w:r w:rsidR="009B1065" w:rsidRPr="00126B2F">
        <w:rPr>
          <w:rFonts w:cs="Times New Roman"/>
          <w:color w:val="000000"/>
          <w:sz w:val="24"/>
          <w:szCs w:val="24"/>
        </w:rPr>
        <w:t>D</w:t>
      </w:r>
      <w:r w:rsidR="009877B1" w:rsidRPr="00126B2F">
        <w:rPr>
          <w:rFonts w:cs="Times New Roman"/>
          <w:color w:val="000000"/>
          <w:sz w:val="24"/>
          <w:szCs w:val="24"/>
        </w:rPr>
        <w:t>ata on academic staff salaries were sourced from Academic Salaries Tribunal reports, union archives</w:t>
      </w:r>
      <w:r w:rsidR="009B1065" w:rsidRPr="00126B2F">
        <w:rPr>
          <w:rFonts w:cs="Times New Roman"/>
          <w:color w:val="000000"/>
          <w:sz w:val="24"/>
          <w:szCs w:val="24"/>
        </w:rPr>
        <w:t>,</w:t>
      </w:r>
      <w:r w:rsidR="009877B1" w:rsidRPr="00126B2F">
        <w:rPr>
          <w:rFonts w:cs="Times New Roman"/>
          <w:color w:val="000000"/>
          <w:sz w:val="24"/>
          <w:szCs w:val="24"/>
        </w:rPr>
        <w:t xml:space="preserve"> from Marginson (1989)</w:t>
      </w:r>
      <w:r w:rsidR="0097663D">
        <w:rPr>
          <w:rFonts w:cs="Times New Roman"/>
          <w:color w:val="000000"/>
          <w:sz w:val="24"/>
          <w:szCs w:val="24"/>
        </w:rPr>
        <w:t xml:space="preserve"> and from published university financial statements</w:t>
      </w:r>
      <w:r w:rsidR="009877B1" w:rsidRPr="00126B2F">
        <w:rPr>
          <w:rFonts w:cs="Times New Roman"/>
          <w:color w:val="000000"/>
          <w:sz w:val="24"/>
          <w:szCs w:val="24"/>
        </w:rPr>
        <w:t>.</w:t>
      </w:r>
      <w:r w:rsidR="00315BDB" w:rsidRPr="00126B2F">
        <w:rPr>
          <w:rFonts w:cs="Times New Roman"/>
          <w:sz w:val="24"/>
          <w:szCs w:val="24"/>
        </w:rPr>
        <w:t xml:space="preserve"> </w:t>
      </w:r>
      <w:r w:rsidR="00FB1E0C" w:rsidRPr="00126B2F">
        <w:rPr>
          <w:rFonts w:cs="Times New Roman"/>
          <w:sz w:val="24"/>
          <w:szCs w:val="24"/>
        </w:rPr>
        <w:t>It is significant</w:t>
      </w:r>
      <w:r w:rsidR="0097663D">
        <w:rPr>
          <w:rFonts w:cs="Times New Roman"/>
          <w:sz w:val="24"/>
          <w:szCs w:val="24"/>
        </w:rPr>
        <w:t>,</w:t>
      </w:r>
      <w:r w:rsidR="00FB1E0C" w:rsidRPr="00126B2F">
        <w:rPr>
          <w:rFonts w:cs="Times New Roman"/>
          <w:sz w:val="24"/>
          <w:szCs w:val="24"/>
        </w:rPr>
        <w:t xml:space="preserve"> but not surprising</w:t>
      </w:r>
      <w:r w:rsidR="0097663D">
        <w:rPr>
          <w:rFonts w:cs="Times New Roman"/>
          <w:sz w:val="24"/>
          <w:szCs w:val="24"/>
        </w:rPr>
        <w:t>,</w:t>
      </w:r>
      <w:r w:rsidR="00FB1E0C" w:rsidRPr="00126B2F">
        <w:rPr>
          <w:rFonts w:cs="Times New Roman"/>
          <w:sz w:val="24"/>
          <w:szCs w:val="24"/>
        </w:rPr>
        <w:t xml:space="preserve"> that t</w:t>
      </w:r>
      <w:r w:rsidR="00315BDB" w:rsidRPr="00126B2F">
        <w:rPr>
          <w:rFonts w:cs="Times New Roman"/>
          <w:sz w:val="24"/>
          <w:szCs w:val="24"/>
        </w:rPr>
        <w:t xml:space="preserve">he ratio was far lower when all </w:t>
      </w:r>
      <w:r w:rsidR="00E960D7">
        <w:rPr>
          <w:rFonts w:cs="Times New Roman"/>
          <w:sz w:val="24"/>
          <w:szCs w:val="24"/>
        </w:rPr>
        <w:t>remuneration</w:t>
      </w:r>
      <w:r w:rsidR="00E960D7" w:rsidRPr="00126B2F">
        <w:rPr>
          <w:rFonts w:cs="Times New Roman"/>
          <w:sz w:val="24"/>
          <w:szCs w:val="24"/>
        </w:rPr>
        <w:t xml:space="preserve"> </w:t>
      </w:r>
      <w:r w:rsidR="00315BDB" w:rsidRPr="00126B2F">
        <w:rPr>
          <w:rFonts w:cs="Times New Roman"/>
          <w:sz w:val="24"/>
          <w:szCs w:val="24"/>
        </w:rPr>
        <w:t>was centrally set or regulated. Sharp increases from the 1990s correspond</w:t>
      </w:r>
      <w:r w:rsidR="0097663D">
        <w:rPr>
          <w:rFonts w:cs="Times New Roman"/>
          <w:sz w:val="24"/>
          <w:szCs w:val="24"/>
        </w:rPr>
        <w:t>ed</w:t>
      </w:r>
      <w:r w:rsidR="00315BDB" w:rsidRPr="00126B2F">
        <w:rPr>
          <w:rFonts w:cs="Times New Roman"/>
          <w:sz w:val="24"/>
          <w:szCs w:val="24"/>
        </w:rPr>
        <w:t xml:space="preserve"> with the lifting of government control over VCs’ remuneration, the inception of local enterprise bargaining, and a transition from collegial to corporate governance</w:t>
      </w:r>
      <w:r w:rsidR="00FB1E0C" w:rsidRPr="00126B2F">
        <w:rPr>
          <w:rFonts w:cs="Times New Roman"/>
          <w:sz w:val="24"/>
          <w:szCs w:val="24"/>
        </w:rPr>
        <w:t xml:space="preserve"> models.</w:t>
      </w:r>
      <w:r w:rsidR="00BE0671" w:rsidRPr="00126B2F">
        <w:rPr>
          <w:rFonts w:cs="Times New Roman"/>
          <w:sz w:val="24"/>
          <w:szCs w:val="24"/>
        </w:rPr>
        <w:t xml:space="preserve"> </w:t>
      </w:r>
    </w:p>
    <w:p w14:paraId="7907F154" w14:textId="77777777" w:rsidR="009877B1" w:rsidRPr="00126B2F" w:rsidRDefault="009877B1" w:rsidP="00F7771F">
      <w:pPr>
        <w:autoSpaceDE w:val="0"/>
        <w:autoSpaceDN w:val="0"/>
        <w:adjustRightInd w:val="0"/>
        <w:spacing w:after="0" w:line="360" w:lineRule="auto"/>
        <w:rPr>
          <w:rFonts w:cs="Times New Roman"/>
          <w:sz w:val="24"/>
          <w:szCs w:val="24"/>
        </w:rPr>
      </w:pPr>
    </w:p>
    <w:tbl>
      <w:tblPr>
        <w:tblStyle w:val="TableGrid"/>
        <w:tblW w:w="0" w:type="auto"/>
        <w:tblLook w:val="04A0" w:firstRow="1" w:lastRow="0" w:firstColumn="1" w:lastColumn="0" w:noHBand="0" w:noVBand="1"/>
      </w:tblPr>
      <w:tblGrid>
        <w:gridCol w:w="1549"/>
        <w:gridCol w:w="1165"/>
        <w:gridCol w:w="1166"/>
        <w:gridCol w:w="1167"/>
        <w:gridCol w:w="1167"/>
        <w:gridCol w:w="1167"/>
        <w:gridCol w:w="1080"/>
      </w:tblGrid>
      <w:tr w:rsidR="00986125" w:rsidRPr="00580F59" w14:paraId="44E79B6E" w14:textId="77777777" w:rsidTr="00232CF7">
        <w:tc>
          <w:tcPr>
            <w:tcW w:w="8461" w:type="dxa"/>
            <w:gridSpan w:val="7"/>
            <w:shd w:val="clear" w:color="auto" w:fill="BFBFBF" w:themeFill="background1" w:themeFillShade="BF"/>
          </w:tcPr>
          <w:p w14:paraId="1758CE1B" w14:textId="77777777" w:rsidR="00986125" w:rsidRPr="00580F59" w:rsidRDefault="00986125" w:rsidP="00232CF7">
            <w:pPr>
              <w:autoSpaceDE w:val="0"/>
              <w:autoSpaceDN w:val="0"/>
              <w:adjustRightInd w:val="0"/>
              <w:spacing w:before="80" w:after="80"/>
              <w:rPr>
                <w:rFonts w:cs="Times New Roman"/>
                <w:b/>
                <w:sz w:val="20"/>
                <w:szCs w:val="20"/>
              </w:rPr>
            </w:pPr>
            <w:r w:rsidRPr="00580F59">
              <w:rPr>
                <w:rFonts w:cs="Times New Roman"/>
                <w:b/>
                <w:sz w:val="20"/>
                <w:szCs w:val="20"/>
              </w:rPr>
              <w:t>Table 1: Comparison of selected Australian vice-chancellors’ and lecturers’ salaries 1975-2018</w:t>
            </w:r>
          </w:p>
        </w:tc>
      </w:tr>
      <w:tr w:rsidR="00986125" w:rsidRPr="00580F59" w14:paraId="34C7DAC2" w14:textId="77777777" w:rsidTr="00232CF7">
        <w:tc>
          <w:tcPr>
            <w:tcW w:w="1549" w:type="dxa"/>
            <w:shd w:val="clear" w:color="auto" w:fill="D9D9D9" w:themeFill="background1" w:themeFillShade="D9"/>
          </w:tcPr>
          <w:p w14:paraId="04429897" w14:textId="77777777" w:rsidR="00986125" w:rsidRPr="00580F59" w:rsidRDefault="00986125" w:rsidP="00232CF7">
            <w:pPr>
              <w:autoSpaceDE w:val="0"/>
              <w:autoSpaceDN w:val="0"/>
              <w:adjustRightInd w:val="0"/>
              <w:spacing w:before="60" w:after="60"/>
              <w:rPr>
                <w:rFonts w:cs="Times New Roman"/>
                <w:sz w:val="20"/>
                <w:szCs w:val="20"/>
              </w:rPr>
            </w:pPr>
          </w:p>
        </w:tc>
        <w:tc>
          <w:tcPr>
            <w:tcW w:w="1165" w:type="dxa"/>
            <w:shd w:val="clear" w:color="auto" w:fill="D9D9D9" w:themeFill="background1" w:themeFillShade="D9"/>
          </w:tcPr>
          <w:p w14:paraId="09E4933A" w14:textId="77777777" w:rsidR="00986125" w:rsidRPr="00580F59" w:rsidRDefault="00986125" w:rsidP="00232CF7">
            <w:pPr>
              <w:autoSpaceDE w:val="0"/>
              <w:autoSpaceDN w:val="0"/>
              <w:adjustRightInd w:val="0"/>
              <w:spacing w:before="60" w:after="60"/>
              <w:rPr>
                <w:rFonts w:cs="Times New Roman"/>
                <w:b/>
                <w:bCs/>
                <w:sz w:val="20"/>
                <w:szCs w:val="20"/>
              </w:rPr>
            </w:pPr>
            <w:r w:rsidRPr="00580F59">
              <w:rPr>
                <w:rFonts w:cs="Times New Roman"/>
                <w:b/>
                <w:bCs/>
                <w:sz w:val="20"/>
                <w:szCs w:val="20"/>
              </w:rPr>
              <w:t>1975</w:t>
            </w:r>
          </w:p>
        </w:tc>
        <w:tc>
          <w:tcPr>
            <w:tcW w:w="1166" w:type="dxa"/>
            <w:shd w:val="clear" w:color="auto" w:fill="D9D9D9" w:themeFill="background1" w:themeFillShade="D9"/>
          </w:tcPr>
          <w:p w14:paraId="20F0DEA8" w14:textId="77777777" w:rsidR="00986125" w:rsidRPr="00580F59" w:rsidRDefault="00986125" w:rsidP="00232CF7">
            <w:pPr>
              <w:autoSpaceDE w:val="0"/>
              <w:autoSpaceDN w:val="0"/>
              <w:adjustRightInd w:val="0"/>
              <w:spacing w:before="60" w:after="60"/>
              <w:rPr>
                <w:rFonts w:cs="Times New Roman"/>
                <w:b/>
                <w:bCs/>
                <w:sz w:val="20"/>
                <w:szCs w:val="20"/>
              </w:rPr>
            </w:pPr>
            <w:r w:rsidRPr="00580F59">
              <w:rPr>
                <w:rFonts w:cs="Times New Roman"/>
                <w:b/>
                <w:bCs/>
                <w:sz w:val="20"/>
                <w:szCs w:val="20"/>
              </w:rPr>
              <w:t>1985</w:t>
            </w:r>
          </w:p>
        </w:tc>
        <w:tc>
          <w:tcPr>
            <w:tcW w:w="1167" w:type="dxa"/>
            <w:shd w:val="clear" w:color="auto" w:fill="D9D9D9" w:themeFill="background1" w:themeFillShade="D9"/>
          </w:tcPr>
          <w:p w14:paraId="539A8A8D" w14:textId="77777777" w:rsidR="00986125" w:rsidRPr="00580F59" w:rsidRDefault="00986125" w:rsidP="00232CF7">
            <w:pPr>
              <w:autoSpaceDE w:val="0"/>
              <w:autoSpaceDN w:val="0"/>
              <w:adjustRightInd w:val="0"/>
              <w:spacing w:before="60" w:after="60"/>
              <w:rPr>
                <w:rFonts w:cs="Times New Roman"/>
                <w:b/>
                <w:bCs/>
                <w:sz w:val="20"/>
                <w:szCs w:val="20"/>
              </w:rPr>
            </w:pPr>
            <w:r w:rsidRPr="00580F59">
              <w:rPr>
                <w:rFonts w:cs="Times New Roman"/>
                <w:b/>
                <w:bCs/>
                <w:sz w:val="20"/>
                <w:szCs w:val="20"/>
              </w:rPr>
              <w:t>1995</w:t>
            </w:r>
          </w:p>
        </w:tc>
        <w:tc>
          <w:tcPr>
            <w:tcW w:w="1167" w:type="dxa"/>
            <w:shd w:val="clear" w:color="auto" w:fill="D9D9D9" w:themeFill="background1" w:themeFillShade="D9"/>
          </w:tcPr>
          <w:p w14:paraId="6AC233EA" w14:textId="77777777" w:rsidR="00986125" w:rsidRPr="00580F59" w:rsidRDefault="00986125" w:rsidP="00232CF7">
            <w:pPr>
              <w:autoSpaceDE w:val="0"/>
              <w:autoSpaceDN w:val="0"/>
              <w:adjustRightInd w:val="0"/>
              <w:spacing w:before="60" w:after="60"/>
              <w:rPr>
                <w:rFonts w:cs="Times New Roman"/>
                <w:b/>
                <w:bCs/>
                <w:sz w:val="20"/>
                <w:szCs w:val="20"/>
              </w:rPr>
            </w:pPr>
            <w:r w:rsidRPr="00580F59">
              <w:rPr>
                <w:rFonts w:cs="Times New Roman"/>
                <w:b/>
                <w:bCs/>
                <w:sz w:val="20"/>
                <w:szCs w:val="20"/>
              </w:rPr>
              <w:t>2005</w:t>
            </w:r>
          </w:p>
        </w:tc>
        <w:tc>
          <w:tcPr>
            <w:tcW w:w="1167" w:type="dxa"/>
            <w:shd w:val="clear" w:color="auto" w:fill="D9D9D9" w:themeFill="background1" w:themeFillShade="D9"/>
          </w:tcPr>
          <w:p w14:paraId="374E790A" w14:textId="77777777" w:rsidR="00986125" w:rsidRPr="00580F59" w:rsidRDefault="00986125" w:rsidP="00232CF7">
            <w:pPr>
              <w:autoSpaceDE w:val="0"/>
              <w:autoSpaceDN w:val="0"/>
              <w:adjustRightInd w:val="0"/>
              <w:spacing w:before="60" w:after="60"/>
              <w:rPr>
                <w:rFonts w:cs="Times New Roman"/>
                <w:b/>
                <w:bCs/>
                <w:sz w:val="20"/>
                <w:szCs w:val="20"/>
              </w:rPr>
            </w:pPr>
            <w:r w:rsidRPr="00580F59">
              <w:rPr>
                <w:rFonts w:cs="Times New Roman"/>
                <w:b/>
                <w:bCs/>
                <w:sz w:val="20"/>
                <w:szCs w:val="20"/>
              </w:rPr>
              <w:t>2015</w:t>
            </w:r>
          </w:p>
        </w:tc>
        <w:tc>
          <w:tcPr>
            <w:tcW w:w="1080" w:type="dxa"/>
            <w:shd w:val="clear" w:color="auto" w:fill="D9D9D9" w:themeFill="background1" w:themeFillShade="D9"/>
          </w:tcPr>
          <w:p w14:paraId="58865716" w14:textId="77777777" w:rsidR="00986125" w:rsidRPr="00580F59" w:rsidRDefault="00986125" w:rsidP="00232CF7">
            <w:pPr>
              <w:autoSpaceDE w:val="0"/>
              <w:autoSpaceDN w:val="0"/>
              <w:adjustRightInd w:val="0"/>
              <w:spacing w:before="60" w:after="60"/>
              <w:rPr>
                <w:rFonts w:cs="Times New Roman"/>
                <w:b/>
                <w:bCs/>
                <w:sz w:val="20"/>
                <w:szCs w:val="20"/>
              </w:rPr>
            </w:pPr>
            <w:r w:rsidRPr="00580F59">
              <w:rPr>
                <w:rFonts w:cs="Times New Roman"/>
                <w:b/>
                <w:bCs/>
                <w:sz w:val="20"/>
                <w:szCs w:val="20"/>
              </w:rPr>
              <w:t>2018</w:t>
            </w:r>
          </w:p>
        </w:tc>
      </w:tr>
      <w:tr w:rsidR="00986125" w:rsidRPr="00580F59" w14:paraId="35609B56" w14:textId="77777777" w:rsidTr="00232CF7">
        <w:tc>
          <w:tcPr>
            <w:tcW w:w="1549" w:type="dxa"/>
          </w:tcPr>
          <w:p w14:paraId="7220104D" w14:textId="77777777" w:rsidR="00986125" w:rsidRPr="00580F59" w:rsidRDefault="00986125" w:rsidP="00232CF7">
            <w:pPr>
              <w:autoSpaceDE w:val="0"/>
              <w:autoSpaceDN w:val="0"/>
              <w:adjustRightInd w:val="0"/>
              <w:spacing w:before="60" w:after="60"/>
              <w:rPr>
                <w:rFonts w:cs="Times New Roman"/>
                <w:b/>
                <w:sz w:val="20"/>
                <w:szCs w:val="20"/>
              </w:rPr>
            </w:pPr>
            <w:r w:rsidRPr="00580F59">
              <w:rPr>
                <w:rFonts w:cs="Times New Roman"/>
                <w:b/>
                <w:sz w:val="20"/>
                <w:szCs w:val="20"/>
              </w:rPr>
              <w:t xml:space="preserve">Elite </w:t>
            </w:r>
            <w:proofErr w:type="gramStart"/>
            <w:r w:rsidRPr="00580F59">
              <w:rPr>
                <w:rFonts w:cs="Times New Roman"/>
                <w:b/>
                <w:sz w:val="20"/>
                <w:szCs w:val="20"/>
              </w:rPr>
              <w:t>research intensive</w:t>
            </w:r>
            <w:proofErr w:type="gramEnd"/>
            <w:r w:rsidRPr="00580F59">
              <w:rPr>
                <w:rFonts w:cs="Times New Roman"/>
                <w:b/>
                <w:sz w:val="20"/>
                <w:szCs w:val="20"/>
              </w:rPr>
              <w:t xml:space="preserve"> university</w:t>
            </w:r>
          </w:p>
        </w:tc>
        <w:tc>
          <w:tcPr>
            <w:tcW w:w="1165" w:type="dxa"/>
          </w:tcPr>
          <w:p w14:paraId="531E5348"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2.9</w:t>
            </w:r>
          </w:p>
        </w:tc>
        <w:tc>
          <w:tcPr>
            <w:tcW w:w="1166" w:type="dxa"/>
          </w:tcPr>
          <w:p w14:paraId="4D6DCDFE"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3.1</w:t>
            </w:r>
          </w:p>
        </w:tc>
        <w:tc>
          <w:tcPr>
            <w:tcW w:w="1167" w:type="dxa"/>
          </w:tcPr>
          <w:p w14:paraId="08846524"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6.3</w:t>
            </w:r>
          </w:p>
        </w:tc>
        <w:tc>
          <w:tcPr>
            <w:tcW w:w="1167" w:type="dxa"/>
          </w:tcPr>
          <w:p w14:paraId="5A28BDB7"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14.7</w:t>
            </w:r>
          </w:p>
        </w:tc>
        <w:tc>
          <w:tcPr>
            <w:tcW w:w="1167" w:type="dxa"/>
          </w:tcPr>
          <w:p w14:paraId="6802F2B0"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12.0</w:t>
            </w:r>
          </w:p>
        </w:tc>
        <w:tc>
          <w:tcPr>
            <w:tcW w:w="1080" w:type="dxa"/>
          </w:tcPr>
          <w:p w14:paraId="542548A4"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16.01</w:t>
            </w:r>
          </w:p>
        </w:tc>
      </w:tr>
      <w:tr w:rsidR="00986125" w:rsidRPr="00580F59" w14:paraId="76ABEB7A" w14:textId="77777777" w:rsidTr="00232CF7">
        <w:tc>
          <w:tcPr>
            <w:tcW w:w="1549" w:type="dxa"/>
          </w:tcPr>
          <w:p w14:paraId="56341153" w14:textId="77777777" w:rsidR="00986125" w:rsidRPr="00580F59" w:rsidRDefault="00986125" w:rsidP="00232CF7">
            <w:pPr>
              <w:autoSpaceDE w:val="0"/>
              <w:autoSpaceDN w:val="0"/>
              <w:adjustRightInd w:val="0"/>
              <w:spacing w:before="60" w:after="60"/>
              <w:rPr>
                <w:rFonts w:cs="Times New Roman"/>
                <w:b/>
                <w:sz w:val="20"/>
                <w:szCs w:val="20"/>
              </w:rPr>
            </w:pPr>
            <w:r w:rsidRPr="00580F59">
              <w:rPr>
                <w:rFonts w:cs="Times New Roman"/>
                <w:b/>
                <w:sz w:val="20"/>
                <w:szCs w:val="20"/>
              </w:rPr>
              <w:t>Mid-level teaching and research</w:t>
            </w:r>
          </w:p>
          <w:p w14:paraId="26898A40" w14:textId="77777777" w:rsidR="00986125" w:rsidRPr="00580F59" w:rsidRDefault="00986125" w:rsidP="00232CF7">
            <w:pPr>
              <w:autoSpaceDE w:val="0"/>
              <w:autoSpaceDN w:val="0"/>
              <w:adjustRightInd w:val="0"/>
              <w:spacing w:before="60" w:after="60"/>
              <w:rPr>
                <w:rFonts w:cs="Times New Roman"/>
                <w:b/>
                <w:sz w:val="20"/>
                <w:szCs w:val="20"/>
              </w:rPr>
            </w:pPr>
            <w:r w:rsidRPr="00580F59">
              <w:rPr>
                <w:rFonts w:cs="Times New Roman"/>
                <w:b/>
                <w:sz w:val="20"/>
                <w:szCs w:val="20"/>
              </w:rPr>
              <w:t>university</w:t>
            </w:r>
          </w:p>
        </w:tc>
        <w:tc>
          <w:tcPr>
            <w:tcW w:w="1165" w:type="dxa"/>
          </w:tcPr>
          <w:p w14:paraId="05897EB6"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2.6</w:t>
            </w:r>
          </w:p>
        </w:tc>
        <w:tc>
          <w:tcPr>
            <w:tcW w:w="1166" w:type="dxa"/>
          </w:tcPr>
          <w:p w14:paraId="06CECE35"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2.8</w:t>
            </w:r>
          </w:p>
        </w:tc>
        <w:tc>
          <w:tcPr>
            <w:tcW w:w="1167" w:type="dxa"/>
          </w:tcPr>
          <w:p w14:paraId="46C982AC"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6.3</w:t>
            </w:r>
          </w:p>
        </w:tc>
        <w:tc>
          <w:tcPr>
            <w:tcW w:w="1167" w:type="dxa"/>
          </w:tcPr>
          <w:p w14:paraId="3BA6DBE6"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9.8</w:t>
            </w:r>
          </w:p>
        </w:tc>
        <w:tc>
          <w:tcPr>
            <w:tcW w:w="1167" w:type="dxa"/>
          </w:tcPr>
          <w:p w14:paraId="0B4ED11D"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10.1</w:t>
            </w:r>
          </w:p>
        </w:tc>
        <w:tc>
          <w:tcPr>
            <w:tcW w:w="1080" w:type="dxa"/>
          </w:tcPr>
          <w:p w14:paraId="69B8EEBE"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10.6</w:t>
            </w:r>
          </w:p>
        </w:tc>
      </w:tr>
      <w:tr w:rsidR="00986125" w:rsidRPr="00580F59" w14:paraId="523263F7" w14:textId="77777777" w:rsidTr="00232CF7">
        <w:tc>
          <w:tcPr>
            <w:tcW w:w="1549" w:type="dxa"/>
          </w:tcPr>
          <w:p w14:paraId="3C759C36" w14:textId="77777777" w:rsidR="00986125" w:rsidRPr="00580F59" w:rsidRDefault="00986125" w:rsidP="00232CF7">
            <w:pPr>
              <w:autoSpaceDE w:val="0"/>
              <w:autoSpaceDN w:val="0"/>
              <w:adjustRightInd w:val="0"/>
              <w:spacing w:before="60" w:after="60"/>
              <w:rPr>
                <w:rFonts w:cs="Times New Roman"/>
                <w:b/>
                <w:sz w:val="20"/>
                <w:szCs w:val="20"/>
              </w:rPr>
            </w:pPr>
            <w:r w:rsidRPr="00580F59">
              <w:rPr>
                <w:rFonts w:cs="Times New Roman"/>
                <w:b/>
                <w:sz w:val="20"/>
                <w:szCs w:val="20"/>
              </w:rPr>
              <w:t>New dual sector (established mid-1990s)</w:t>
            </w:r>
          </w:p>
          <w:p w14:paraId="06F684E2" w14:textId="77777777" w:rsidR="00986125" w:rsidRPr="00580F59" w:rsidRDefault="00986125" w:rsidP="00232CF7">
            <w:pPr>
              <w:autoSpaceDE w:val="0"/>
              <w:autoSpaceDN w:val="0"/>
              <w:adjustRightInd w:val="0"/>
              <w:spacing w:before="60" w:after="60"/>
              <w:rPr>
                <w:rFonts w:cs="Times New Roman"/>
                <w:b/>
                <w:sz w:val="20"/>
                <w:szCs w:val="20"/>
              </w:rPr>
            </w:pPr>
            <w:r w:rsidRPr="00580F59">
              <w:rPr>
                <w:rFonts w:cs="Times New Roman"/>
                <w:b/>
                <w:sz w:val="20"/>
                <w:szCs w:val="20"/>
              </w:rPr>
              <w:t>university</w:t>
            </w:r>
          </w:p>
        </w:tc>
        <w:tc>
          <w:tcPr>
            <w:tcW w:w="1165" w:type="dxa"/>
          </w:tcPr>
          <w:p w14:paraId="3A548D98"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N/A</w:t>
            </w:r>
          </w:p>
        </w:tc>
        <w:tc>
          <w:tcPr>
            <w:tcW w:w="1166" w:type="dxa"/>
          </w:tcPr>
          <w:p w14:paraId="58C8E299"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N/A</w:t>
            </w:r>
          </w:p>
        </w:tc>
        <w:tc>
          <w:tcPr>
            <w:tcW w:w="1167" w:type="dxa"/>
          </w:tcPr>
          <w:p w14:paraId="2DA9F461"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N/A</w:t>
            </w:r>
          </w:p>
        </w:tc>
        <w:tc>
          <w:tcPr>
            <w:tcW w:w="1167" w:type="dxa"/>
          </w:tcPr>
          <w:p w14:paraId="6C10FD2F"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8.3</w:t>
            </w:r>
          </w:p>
        </w:tc>
        <w:tc>
          <w:tcPr>
            <w:tcW w:w="1167" w:type="dxa"/>
          </w:tcPr>
          <w:p w14:paraId="62CDED02"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9.3</w:t>
            </w:r>
          </w:p>
        </w:tc>
        <w:tc>
          <w:tcPr>
            <w:tcW w:w="1080" w:type="dxa"/>
          </w:tcPr>
          <w:p w14:paraId="110A462A" w14:textId="77777777" w:rsidR="00986125" w:rsidRPr="00580F59" w:rsidRDefault="00986125" w:rsidP="00232CF7">
            <w:pPr>
              <w:autoSpaceDE w:val="0"/>
              <w:autoSpaceDN w:val="0"/>
              <w:adjustRightInd w:val="0"/>
              <w:spacing w:before="60" w:after="60"/>
              <w:rPr>
                <w:rFonts w:cs="Times New Roman"/>
                <w:sz w:val="20"/>
                <w:szCs w:val="20"/>
              </w:rPr>
            </w:pPr>
            <w:r w:rsidRPr="00580F59">
              <w:rPr>
                <w:rFonts w:cs="Times New Roman"/>
                <w:sz w:val="20"/>
                <w:szCs w:val="20"/>
              </w:rPr>
              <w:t>7.7</w:t>
            </w:r>
          </w:p>
        </w:tc>
      </w:tr>
    </w:tbl>
    <w:p w14:paraId="21128968" w14:textId="776C6E8E" w:rsidR="00DF054E" w:rsidRDefault="00DF054E" w:rsidP="00F7771F">
      <w:pPr>
        <w:spacing w:after="0" w:line="360" w:lineRule="auto"/>
        <w:rPr>
          <w:rFonts w:cs="Times New Roman"/>
          <w:b/>
          <w:color w:val="FF0000"/>
          <w:sz w:val="24"/>
          <w:szCs w:val="24"/>
        </w:rPr>
      </w:pPr>
    </w:p>
    <w:p w14:paraId="15DA26F0" w14:textId="74CB16F7" w:rsidR="002D6547" w:rsidRPr="00CF1062" w:rsidRDefault="002D6547" w:rsidP="00F7771F">
      <w:pPr>
        <w:spacing w:after="0" w:line="360" w:lineRule="auto"/>
        <w:rPr>
          <w:rFonts w:cs="Times New Roman"/>
          <w:bCs/>
          <w:sz w:val="24"/>
          <w:szCs w:val="24"/>
        </w:rPr>
      </w:pPr>
      <w:r w:rsidRPr="00CF1062">
        <w:rPr>
          <w:rFonts w:cs="Times New Roman"/>
          <w:bCs/>
          <w:sz w:val="24"/>
          <w:szCs w:val="24"/>
        </w:rPr>
        <w:t>(Source: Varied)</w:t>
      </w:r>
    </w:p>
    <w:p w14:paraId="2E3CEC21" w14:textId="77777777" w:rsidR="005358CB" w:rsidRPr="00126B2F" w:rsidRDefault="005358CB" w:rsidP="00F7771F">
      <w:pPr>
        <w:spacing w:after="0" w:line="360" w:lineRule="auto"/>
        <w:rPr>
          <w:rFonts w:cs="Times New Roman"/>
          <w:b/>
          <w:color w:val="FF0000"/>
          <w:sz w:val="24"/>
          <w:szCs w:val="24"/>
        </w:rPr>
      </w:pPr>
    </w:p>
    <w:p w14:paraId="36CD4354" w14:textId="5447A770" w:rsidR="00DF054E" w:rsidRPr="00126B2F" w:rsidRDefault="00CC38AD" w:rsidP="00F7771F">
      <w:pPr>
        <w:spacing w:after="0" w:line="360" w:lineRule="auto"/>
        <w:rPr>
          <w:rFonts w:cs="Times New Roman"/>
          <w:b/>
          <w:i/>
          <w:sz w:val="24"/>
          <w:szCs w:val="24"/>
        </w:rPr>
      </w:pPr>
      <w:r w:rsidRPr="00126B2F">
        <w:rPr>
          <w:rFonts w:cs="Times New Roman"/>
          <w:b/>
          <w:i/>
          <w:sz w:val="24"/>
          <w:szCs w:val="24"/>
        </w:rPr>
        <w:t xml:space="preserve">The </w:t>
      </w:r>
      <w:r w:rsidR="00DF054E" w:rsidRPr="00126B2F">
        <w:rPr>
          <w:rFonts w:cs="Times New Roman"/>
          <w:b/>
          <w:i/>
          <w:sz w:val="24"/>
          <w:szCs w:val="24"/>
        </w:rPr>
        <w:t>United Kingdom</w:t>
      </w:r>
    </w:p>
    <w:p w14:paraId="64AE7C79" w14:textId="08379C9F" w:rsidR="009877B1" w:rsidRPr="00126B2F" w:rsidRDefault="009877B1" w:rsidP="00F7771F">
      <w:pPr>
        <w:spacing w:after="0" w:line="360" w:lineRule="auto"/>
        <w:rPr>
          <w:rFonts w:cs="Times New Roman"/>
          <w:sz w:val="24"/>
          <w:szCs w:val="24"/>
        </w:rPr>
      </w:pPr>
      <w:r w:rsidRPr="00126B2F">
        <w:rPr>
          <w:rFonts w:cs="Times New Roman"/>
          <w:sz w:val="24"/>
          <w:szCs w:val="24"/>
        </w:rPr>
        <w:lastRenderedPageBreak/>
        <w:t>UK universities began as autonomous, self-governing communities of scholars endowed financially by the state, church or wealthy individuals (Moodie &amp; Eustace</w:t>
      </w:r>
      <w:r w:rsidR="00CC38AD" w:rsidRPr="00126B2F">
        <w:rPr>
          <w:rFonts w:cs="Times New Roman"/>
          <w:sz w:val="24"/>
          <w:szCs w:val="24"/>
        </w:rPr>
        <w:t>,</w:t>
      </w:r>
      <w:r w:rsidRPr="00126B2F">
        <w:rPr>
          <w:rFonts w:cs="Times New Roman"/>
          <w:sz w:val="24"/>
          <w:szCs w:val="24"/>
        </w:rPr>
        <w:t xml:space="preserve"> 1974). Apart from a small number of </w:t>
      </w:r>
      <w:r w:rsidR="00284F32" w:rsidRPr="00126B2F">
        <w:rPr>
          <w:rFonts w:cs="Times New Roman"/>
          <w:sz w:val="24"/>
          <w:szCs w:val="24"/>
        </w:rPr>
        <w:t xml:space="preserve">newer </w:t>
      </w:r>
      <w:r w:rsidRPr="00126B2F">
        <w:rPr>
          <w:rFonts w:cs="Times New Roman"/>
          <w:sz w:val="24"/>
          <w:szCs w:val="24"/>
        </w:rPr>
        <w:t xml:space="preserve">for-profit institutions (beyond the scope of this paper), </w:t>
      </w:r>
      <w:r w:rsidR="00284F32" w:rsidRPr="00126B2F">
        <w:rPr>
          <w:rFonts w:cs="Times New Roman"/>
          <w:sz w:val="24"/>
          <w:szCs w:val="24"/>
        </w:rPr>
        <w:t>universities’</w:t>
      </w:r>
      <w:r w:rsidRPr="00126B2F">
        <w:rPr>
          <w:rFonts w:cs="Times New Roman"/>
          <w:sz w:val="24"/>
          <w:szCs w:val="24"/>
        </w:rPr>
        <w:t xml:space="preserve"> remain private, charitable and self-governing. From the 19</w:t>
      </w:r>
      <w:r w:rsidRPr="00126B2F">
        <w:rPr>
          <w:rFonts w:cs="Times New Roman"/>
          <w:sz w:val="24"/>
          <w:szCs w:val="24"/>
          <w:vertAlign w:val="superscript"/>
        </w:rPr>
        <w:t>th</w:t>
      </w:r>
      <w:r w:rsidRPr="00126B2F">
        <w:rPr>
          <w:rFonts w:cs="Times New Roman"/>
          <w:sz w:val="24"/>
          <w:szCs w:val="24"/>
        </w:rPr>
        <w:t xml:space="preserve"> century, the state increasingly funded universities, but government took care not to exercise </w:t>
      </w:r>
      <w:r w:rsidR="001704EA" w:rsidRPr="00126B2F">
        <w:rPr>
          <w:rFonts w:cs="Times New Roman"/>
          <w:sz w:val="24"/>
          <w:szCs w:val="24"/>
        </w:rPr>
        <w:t xml:space="preserve">control </w:t>
      </w:r>
      <w:r w:rsidRPr="00126B2F">
        <w:rPr>
          <w:rFonts w:cs="Times New Roman"/>
          <w:sz w:val="24"/>
          <w:szCs w:val="24"/>
        </w:rPr>
        <w:t>as a consequence (</w:t>
      </w:r>
      <w:proofErr w:type="spellStart"/>
      <w:r w:rsidRPr="00126B2F">
        <w:rPr>
          <w:rFonts w:cs="Times New Roman"/>
          <w:sz w:val="24"/>
          <w:szCs w:val="24"/>
        </w:rPr>
        <w:t>Ainley</w:t>
      </w:r>
      <w:proofErr w:type="spellEnd"/>
      <w:r w:rsidR="00CC38AD" w:rsidRPr="00126B2F">
        <w:rPr>
          <w:rFonts w:cs="Times New Roman"/>
          <w:sz w:val="24"/>
          <w:szCs w:val="24"/>
        </w:rPr>
        <w:t>,</w:t>
      </w:r>
      <w:r w:rsidRPr="00126B2F">
        <w:rPr>
          <w:rFonts w:cs="Times New Roman"/>
          <w:sz w:val="24"/>
          <w:szCs w:val="24"/>
        </w:rPr>
        <w:t xml:space="preserve"> 2014). </w:t>
      </w:r>
      <w:r w:rsidR="001704EA" w:rsidRPr="00126B2F">
        <w:rPr>
          <w:rFonts w:cs="Times New Roman"/>
          <w:sz w:val="24"/>
          <w:szCs w:val="24"/>
        </w:rPr>
        <w:t>This arrangement</w:t>
      </w:r>
      <w:r w:rsidRPr="00126B2F">
        <w:rPr>
          <w:rFonts w:cs="Times New Roman"/>
          <w:sz w:val="24"/>
          <w:szCs w:val="24"/>
        </w:rPr>
        <w:t xml:space="preserve"> came to </w:t>
      </w:r>
      <w:r w:rsidR="003E1D6E" w:rsidRPr="00126B2F">
        <w:rPr>
          <w:rFonts w:cs="Times New Roman"/>
          <w:sz w:val="24"/>
          <w:szCs w:val="24"/>
        </w:rPr>
        <w:t>an</w:t>
      </w:r>
      <w:r w:rsidRPr="00126B2F">
        <w:rPr>
          <w:rFonts w:cs="Times New Roman"/>
          <w:sz w:val="24"/>
          <w:szCs w:val="24"/>
        </w:rPr>
        <w:t xml:space="preserve"> abrupt end in the 1980s under Margaret Thatcher’s governments (Shattock</w:t>
      </w:r>
      <w:r w:rsidR="00CC38AD" w:rsidRPr="00126B2F">
        <w:rPr>
          <w:rFonts w:cs="Times New Roman"/>
          <w:sz w:val="24"/>
          <w:szCs w:val="24"/>
        </w:rPr>
        <w:t>,</w:t>
      </w:r>
      <w:r w:rsidRPr="00126B2F">
        <w:rPr>
          <w:rFonts w:cs="Times New Roman"/>
          <w:sz w:val="24"/>
          <w:szCs w:val="24"/>
        </w:rPr>
        <w:t xml:space="preserve"> 2006). </w:t>
      </w:r>
    </w:p>
    <w:p w14:paraId="14EA1031" w14:textId="77777777" w:rsidR="009877B1" w:rsidRPr="00126B2F" w:rsidRDefault="009877B1" w:rsidP="00F7771F">
      <w:pPr>
        <w:spacing w:after="0" w:line="360" w:lineRule="auto"/>
        <w:rPr>
          <w:rFonts w:cs="Times New Roman"/>
          <w:sz w:val="24"/>
          <w:szCs w:val="24"/>
        </w:rPr>
      </w:pPr>
    </w:p>
    <w:p w14:paraId="4ADE421C" w14:textId="11591A56" w:rsidR="002C04B2" w:rsidRPr="00126B2F" w:rsidRDefault="009877B1" w:rsidP="00F7771F">
      <w:pPr>
        <w:spacing w:after="0" w:line="360" w:lineRule="auto"/>
        <w:rPr>
          <w:rFonts w:eastAsia="Times New Roman" w:cs="Times New Roman"/>
          <w:color w:val="000000"/>
          <w:sz w:val="24"/>
          <w:szCs w:val="24"/>
          <w:lang w:eastAsia="fi-FI"/>
        </w:rPr>
      </w:pPr>
      <w:r w:rsidRPr="00126B2F">
        <w:rPr>
          <w:rFonts w:cs="Times New Roman"/>
          <w:sz w:val="24"/>
          <w:szCs w:val="24"/>
        </w:rPr>
        <w:t xml:space="preserve">Thatcherism promoted the diminution of the state and the primacy of markets. Professionals were seen as unaccountable and self-serving, making </w:t>
      </w:r>
      <w:r w:rsidR="001704EA" w:rsidRPr="00126B2F">
        <w:rPr>
          <w:rFonts w:cs="Times New Roman"/>
          <w:sz w:val="24"/>
          <w:szCs w:val="24"/>
        </w:rPr>
        <w:t xml:space="preserve">the </w:t>
      </w:r>
      <w:r w:rsidRPr="00126B2F">
        <w:rPr>
          <w:rFonts w:cs="Times New Roman"/>
          <w:sz w:val="24"/>
          <w:szCs w:val="24"/>
        </w:rPr>
        <w:t xml:space="preserve">self-governing universities </w:t>
      </w:r>
      <w:r w:rsidR="001704EA" w:rsidRPr="00126B2F">
        <w:rPr>
          <w:rFonts w:cs="Times New Roman"/>
          <w:sz w:val="24"/>
          <w:szCs w:val="24"/>
        </w:rPr>
        <w:t xml:space="preserve">with </w:t>
      </w:r>
      <w:r w:rsidRPr="00126B2F">
        <w:rPr>
          <w:rFonts w:cs="Times New Roman"/>
          <w:sz w:val="24"/>
          <w:szCs w:val="24"/>
        </w:rPr>
        <w:t>significant public funding an obvious target (McNay</w:t>
      </w:r>
      <w:r w:rsidR="00CC38AD" w:rsidRPr="00126B2F">
        <w:rPr>
          <w:rFonts w:cs="Times New Roman"/>
          <w:sz w:val="24"/>
          <w:szCs w:val="24"/>
        </w:rPr>
        <w:t>,</w:t>
      </w:r>
      <w:r w:rsidR="005D0BDA" w:rsidRPr="00126B2F">
        <w:rPr>
          <w:rFonts w:cs="Times New Roman"/>
          <w:sz w:val="24"/>
          <w:szCs w:val="24"/>
        </w:rPr>
        <w:t xml:space="preserve"> </w:t>
      </w:r>
      <w:r w:rsidRPr="00126B2F">
        <w:rPr>
          <w:rFonts w:cs="Times New Roman"/>
          <w:sz w:val="24"/>
          <w:szCs w:val="24"/>
        </w:rPr>
        <w:t xml:space="preserve">1999). Savage cuts to university budgets from 1981 led the non-statutory Committee of Vice-Chancellors and Principals </w:t>
      </w:r>
      <w:r w:rsidR="00840CD0" w:rsidRPr="00126B2F">
        <w:rPr>
          <w:rFonts w:cs="Times New Roman"/>
          <w:sz w:val="24"/>
          <w:szCs w:val="24"/>
        </w:rPr>
        <w:t xml:space="preserve">(now Universities UK) </w:t>
      </w:r>
      <w:r w:rsidRPr="00126B2F">
        <w:rPr>
          <w:rFonts w:cs="Times New Roman"/>
          <w:sz w:val="24"/>
          <w:szCs w:val="24"/>
        </w:rPr>
        <w:t xml:space="preserve">to establish the Jarratt Committee with Sir Adrian Cadbury, a significant figure in corporate governance reform, as a member. The </w:t>
      </w:r>
      <w:r w:rsidRPr="00126B2F">
        <w:rPr>
          <w:rFonts w:eastAsia="Times New Roman" w:cs="Times New Roman"/>
          <w:color w:val="000000"/>
          <w:sz w:val="24"/>
          <w:szCs w:val="24"/>
          <w:lang w:eastAsia="fi-FI"/>
        </w:rPr>
        <w:t>committee’s report (CVCP</w:t>
      </w:r>
      <w:r w:rsidR="00CC38AD" w:rsidRPr="00126B2F">
        <w:rPr>
          <w:rFonts w:eastAsia="Times New Roman" w:cs="Times New Roman"/>
          <w:color w:val="000000"/>
          <w:sz w:val="24"/>
          <w:szCs w:val="24"/>
          <w:lang w:eastAsia="fi-FI"/>
        </w:rPr>
        <w:t>,</w:t>
      </w:r>
      <w:r w:rsidRPr="00126B2F">
        <w:rPr>
          <w:rFonts w:eastAsia="Times New Roman" w:cs="Times New Roman"/>
          <w:color w:val="000000"/>
          <w:sz w:val="24"/>
          <w:szCs w:val="24"/>
          <w:lang w:eastAsia="fi-FI"/>
        </w:rPr>
        <w:t xml:space="preserve"> 1985) opined the need for a greater role for government in directing universities to a more efficient, business-like approach.  University councils, it argued, should assert their power vis-a-vis collegial senates. Crucial to this was </w:t>
      </w:r>
      <w:bookmarkStart w:id="1" w:name="05"/>
      <w:r w:rsidRPr="00126B2F">
        <w:rPr>
          <w:rFonts w:eastAsia="Times New Roman" w:cs="Times New Roman"/>
          <w:color w:val="000000"/>
          <w:sz w:val="24"/>
          <w:szCs w:val="24"/>
          <w:lang w:eastAsia="fi-FI"/>
        </w:rPr>
        <w:t xml:space="preserve">‘recognising the Vice-Chancellor not only as academic leader but also as chief executive of the university’ </w:t>
      </w:r>
      <w:r w:rsidRPr="00126B2F">
        <w:rPr>
          <w:rFonts w:cs="Times New Roman"/>
          <w:sz w:val="24"/>
          <w:szCs w:val="24"/>
        </w:rPr>
        <w:t>(CVCP</w:t>
      </w:r>
      <w:r w:rsidR="00CC38AD" w:rsidRPr="00126B2F">
        <w:rPr>
          <w:rFonts w:cs="Times New Roman"/>
          <w:sz w:val="24"/>
          <w:szCs w:val="24"/>
        </w:rPr>
        <w:t>,</w:t>
      </w:r>
      <w:r w:rsidRPr="00126B2F">
        <w:rPr>
          <w:rFonts w:cs="Times New Roman"/>
          <w:sz w:val="24"/>
          <w:szCs w:val="24"/>
        </w:rPr>
        <w:t xml:space="preserve"> 1985, </w:t>
      </w:r>
      <w:r w:rsidRPr="00126B2F">
        <w:rPr>
          <w:rFonts w:eastAsia="Times New Roman" w:cs="Times New Roman"/>
          <w:color w:val="000000"/>
          <w:sz w:val="24"/>
          <w:szCs w:val="24"/>
          <w:lang w:eastAsia="fi-FI"/>
        </w:rPr>
        <w:t xml:space="preserve">para 5.5d). This placed considerable day-to-day executive power in the hands of VCs – council members being lay, external, </w:t>
      </w:r>
      <w:r w:rsidR="00F5006D" w:rsidRPr="00126B2F">
        <w:rPr>
          <w:rFonts w:eastAsia="Times New Roman" w:cs="Times New Roman"/>
          <w:color w:val="000000"/>
          <w:sz w:val="24"/>
          <w:szCs w:val="24"/>
          <w:lang w:eastAsia="fi-FI"/>
        </w:rPr>
        <w:t xml:space="preserve">and overwhelmingly non-remunerated </w:t>
      </w:r>
      <w:r w:rsidR="002C04B2" w:rsidRPr="00126B2F">
        <w:rPr>
          <w:rFonts w:eastAsia="Times New Roman" w:cs="Times New Roman"/>
          <w:color w:val="000000"/>
          <w:sz w:val="24"/>
          <w:szCs w:val="24"/>
          <w:lang w:eastAsia="fi-FI"/>
        </w:rPr>
        <w:t>v</w:t>
      </w:r>
      <w:r w:rsidR="00F5006D" w:rsidRPr="00126B2F">
        <w:rPr>
          <w:rFonts w:eastAsia="Times New Roman" w:cs="Times New Roman"/>
          <w:color w:val="000000"/>
          <w:sz w:val="24"/>
          <w:szCs w:val="24"/>
          <w:lang w:eastAsia="fi-FI"/>
        </w:rPr>
        <w:t>olunteers</w:t>
      </w:r>
      <w:r w:rsidRPr="00126B2F">
        <w:rPr>
          <w:rFonts w:eastAsia="Times New Roman" w:cs="Times New Roman"/>
          <w:color w:val="000000"/>
          <w:sz w:val="24"/>
          <w:szCs w:val="24"/>
          <w:lang w:eastAsia="fi-FI"/>
        </w:rPr>
        <w:t xml:space="preserve"> with relatively low organisational time commitments and no personal financial interests in the organisation.</w:t>
      </w:r>
      <w:r w:rsidR="002C04B2" w:rsidRPr="00126B2F">
        <w:rPr>
          <w:rFonts w:eastAsia="Times New Roman" w:cs="Times New Roman"/>
          <w:color w:val="000000"/>
          <w:sz w:val="24"/>
          <w:szCs w:val="24"/>
          <w:lang w:eastAsia="fi-FI"/>
        </w:rPr>
        <w:t xml:space="preserve"> </w:t>
      </w:r>
      <w:r w:rsidRPr="00126B2F">
        <w:rPr>
          <w:rFonts w:eastAsia="Times New Roman" w:cs="Times New Roman"/>
          <w:color w:val="000000"/>
          <w:sz w:val="24"/>
          <w:szCs w:val="24"/>
          <w:lang w:eastAsia="fi-FI"/>
        </w:rPr>
        <w:t>Following Jarratt, the government established a series of national funding councils that allowed it to steer universities at a distance using financial levers (Shattock</w:t>
      </w:r>
      <w:r w:rsidR="00CC38AD" w:rsidRPr="00126B2F">
        <w:rPr>
          <w:rFonts w:eastAsia="Times New Roman" w:cs="Times New Roman"/>
          <w:color w:val="000000"/>
          <w:sz w:val="24"/>
          <w:szCs w:val="24"/>
          <w:lang w:eastAsia="fi-FI"/>
        </w:rPr>
        <w:t>,</w:t>
      </w:r>
      <w:r w:rsidRPr="00126B2F">
        <w:rPr>
          <w:rFonts w:eastAsia="Times New Roman" w:cs="Times New Roman"/>
          <w:color w:val="000000"/>
          <w:sz w:val="24"/>
          <w:szCs w:val="24"/>
          <w:lang w:eastAsia="fi-FI"/>
        </w:rPr>
        <w:t xml:space="preserve"> 2012). </w:t>
      </w:r>
    </w:p>
    <w:p w14:paraId="15F78A9E" w14:textId="77777777" w:rsidR="002C04B2" w:rsidRPr="00126B2F" w:rsidRDefault="002C04B2" w:rsidP="00F7771F">
      <w:pPr>
        <w:spacing w:after="0" w:line="360" w:lineRule="auto"/>
        <w:rPr>
          <w:rFonts w:eastAsia="Times New Roman" w:cs="Times New Roman"/>
          <w:color w:val="000000"/>
          <w:sz w:val="24"/>
          <w:szCs w:val="24"/>
          <w:lang w:eastAsia="fi-FI"/>
        </w:rPr>
      </w:pPr>
    </w:p>
    <w:p w14:paraId="035DD960" w14:textId="0E9C3DED" w:rsidR="009877B1" w:rsidRPr="00126B2F" w:rsidRDefault="009877B1" w:rsidP="00F7771F">
      <w:pPr>
        <w:spacing w:after="0" w:line="360" w:lineRule="auto"/>
        <w:rPr>
          <w:rFonts w:eastAsia="Times New Roman" w:cs="Times New Roman"/>
          <w:color w:val="000000"/>
          <w:sz w:val="24"/>
          <w:szCs w:val="24"/>
          <w:lang w:eastAsia="fi-FI"/>
        </w:rPr>
      </w:pPr>
      <w:r w:rsidRPr="00126B2F">
        <w:rPr>
          <w:rFonts w:eastAsia="Times New Roman" w:cs="Times New Roman"/>
          <w:color w:val="000000"/>
          <w:sz w:val="24"/>
          <w:szCs w:val="24"/>
          <w:lang w:eastAsia="fi-FI"/>
        </w:rPr>
        <w:t xml:space="preserve">These reforms have </w:t>
      </w:r>
      <w:r w:rsidR="0097663D">
        <w:rPr>
          <w:rFonts w:eastAsia="Times New Roman" w:cs="Times New Roman"/>
          <w:color w:val="000000"/>
          <w:sz w:val="24"/>
          <w:szCs w:val="24"/>
          <w:lang w:eastAsia="fi-FI"/>
        </w:rPr>
        <w:t xml:space="preserve">since </w:t>
      </w:r>
      <w:r w:rsidRPr="00126B2F">
        <w:rPr>
          <w:rFonts w:eastAsia="Times New Roman" w:cs="Times New Roman"/>
          <w:color w:val="000000"/>
          <w:sz w:val="24"/>
          <w:szCs w:val="24"/>
          <w:lang w:eastAsia="fi-FI"/>
        </w:rPr>
        <w:t xml:space="preserve">deepened and accelerated, especially in England where deregulation and student fees have heralded significant competition and marketisation. </w:t>
      </w:r>
      <w:r w:rsidR="001704EA" w:rsidRPr="00126B2F">
        <w:rPr>
          <w:rFonts w:eastAsia="Times New Roman" w:cs="Times New Roman"/>
          <w:color w:val="000000"/>
          <w:sz w:val="24"/>
          <w:szCs w:val="24"/>
          <w:lang w:eastAsia="fi-FI"/>
        </w:rPr>
        <w:t>U</w:t>
      </w:r>
      <w:r w:rsidRPr="00126B2F">
        <w:rPr>
          <w:rFonts w:eastAsia="Times New Roman" w:cs="Times New Roman"/>
          <w:color w:val="000000"/>
          <w:sz w:val="24"/>
          <w:szCs w:val="24"/>
          <w:lang w:eastAsia="fi-FI"/>
        </w:rPr>
        <w:t>niversities have prioritised corporate efficiency and profitability, shifting the balance of power further to</w:t>
      </w:r>
      <w:r w:rsidR="002C04B2" w:rsidRPr="00126B2F">
        <w:rPr>
          <w:rFonts w:eastAsia="Times New Roman" w:cs="Times New Roman"/>
          <w:color w:val="000000"/>
          <w:sz w:val="24"/>
          <w:szCs w:val="24"/>
          <w:lang w:eastAsia="fi-FI"/>
        </w:rPr>
        <w:t>wards</w:t>
      </w:r>
      <w:r w:rsidRPr="00126B2F">
        <w:rPr>
          <w:rFonts w:eastAsia="Times New Roman" w:cs="Times New Roman"/>
          <w:color w:val="000000"/>
          <w:sz w:val="24"/>
          <w:szCs w:val="24"/>
          <w:lang w:eastAsia="fi-FI"/>
        </w:rPr>
        <w:t xml:space="preserve"> senior managers. This </w:t>
      </w:r>
      <w:r w:rsidR="001704EA" w:rsidRPr="00126B2F">
        <w:rPr>
          <w:rFonts w:eastAsia="Times New Roman" w:cs="Times New Roman"/>
          <w:color w:val="000000"/>
          <w:sz w:val="24"/>
          <w:szCs w:val="24"/>
          <w:lang w:eastAsia="fi-FI"/>
        </w:rPr>
        <w:t xml:space="preserve">has weakened </w:t>
      </w:r>
      <w:r w:rsidRPr="00126B2F">
        <w:rPr>
          <w:rFonts w:eastAsia="Times New Roman" w:cs="Times New Roman"/>
          <w:color w:val="000000"/>
          <w:sz w:val="24"/>
          <w:szCs w:val="24"/>
          <w:lang w:eastAsia="fi-FI"/>
        </w:rPr>
        <w:t xml:space="preserve">collegiality and strengthened hierarchical managerial control by VCs and, to a lesser extent, </w:t>
      </w:r>
      <w:r w:rsidR="00111865" w:rsidRPr="00126B2F">
        <w:rPr>
          <w:rFonts w:eastAsia="Times New Roman" w:cs="Times New Roman"/>
          <w:color w:val="000000"/>
          <w:sz w:val="24"/>
          <w:szCs w:val="24"/>
          <w:lang w:eastAsia="fi-FI"/>
        </w:rPr>
        <w:t xml:space="preserve">university </w:t>
      </w:r>
      <w:r w:rsidRPr="00126B2F">
        <w:rPr>
          <w:rFonts w:eastAsia="Times New Roman" w:cs="Times New Roman"/>
          <w:color w:val="000000"/>
          <w:sz w:val="24"/>
          <w:szCs w:val="24"/>
          <w:lang w:eastAsia="fi-FI"/>
        </w:rPr>
        <w:t xml:space="preserve">councils </w:t>
      </w:r>
      <w:r w:rsidR="00111865" w:rsidRPr="00126B2F">
        <w:rPr>
          <w:rFonts w:eastAsia="Times New Roman" w:cs="Times New Roman"/>
          <w:color w:val="000000"/>
          <w:sz w:val="24"/>
          <w:szCs w:val="24"/>
          <w:lang w:eastAsia="fi-FI"/>
        </w:rPr>
        <w:t>(</w:t>
      </w:r>
      <w:r w:rsidR="003E1D6E" w:rsidRPr="00126B2F">
        <w:rPr>
          <w:rFonts w:eastAsia="Times New Roman" w:cs="Times New Roman"/>
          <w:color w:val="000000"/>
          <w:sz w:val="24"/>
          <w:szCs w:val="24"/>
          <w:lang w:eastAsia="fi-FI"/>
        </w:rPr>
        <w:t>governing bodies</w:t>
      </w:r>
      <w:r w:rsidR="00111865" w:rsidRPr="00126B2F">
        <w:rPr>
          <w:rFonts w:eastAsia="Times New Roman" w:cs="Times New Roman"/>
          <w:color w:val="000000"/>
          <w:sz w:val="24"/>
          <w:szCs w:val="24"/>
          <w:lang w:eastAsia="fi-FI"/>
        </w:rPr>
        <w:t>)</w:t>
      </w:r>
      <w:r w:rsidR="003E1D6E" w:rsidRPr="00126B2F">
        <w:rPr>
          <w:rFonts w:eastAsia="Times New Roman" w:cs="Times New Roman"/>
          <w:color w:val="000000"/>
          <w:sz w:val="24"/>
          <w:szCs w:val="24"/>
          <w:lang w:eastAsia="fi-FI"/>
        </w:rPr>
        <w:t xml:space="preserve"> </w:t>
      </w:r>
      <w:r w:rsidRPr="00126B2F">
        <w:rPr>
          <w:rFonts w:eastAsia="Times New Roman" w:cs="Times New Roman"/>
          <w:color w:val="000000"/>
          <w:sz w:val="24"/>
          <w:szCs w:val="24"/>
          <w:lang w:eastAsia="fi-FI"/>
        </w:rPr>
        <w:t>(Trakman</w:t>
      </w:r>
      <w:r w:rsidR="00CC38AD" w:rsidRPr="00126B2F">
        <w:rPr>
          <w:rFonts w:eastAsia="Times New Roman" w:cs="Times New Roman"/>
          <w:color w:val="000000"/>
          <w:sz w:val="24"/>
          <w:szCs w:val="24"/>
          <w:lang w:eastAsia="fi-FI"/>
        </w:rPr>
        <w:t>,</w:t>
      </w:r>
      <w:r w:rsidRPr="00126B2F">
        <w:rPr>
          <w:rFonts w:eastAsia="Times New Roman" w:cs="Times New Roman"/>
          <w:color w:val="000000"/>
          <w:sz w:val="24"/>
          <w:szCs w:val="24"/>
          <w:lang w:eastAsia="fi-FI"/>
        </w:rPr>
        <w:t xml:space="preserve"> 2008). Exogenously, </w:t>
      </w:r>
      <w:r w:rsidR="003E1D6E" w:rsidRPr="00126B2F">
        <w:rPr>
          <w:rFonts w:eastAsia="Times New Roman" w:cs="Times New Roman"/>
          <w:color w:val="000000"/>
          <w:sz w:val="24"/>
          <w:szCs w:val="24"/>
          <w:lang w:eastAsia="fi-FI"/>
        </w:rPr>
        <w:t xml:space="preserve">university </w:t>
      </w:r>
      <w:r w:rsidRPr="00126B2F">
        <w:rPr>
          <w:rFonts w:eastAsia="Times New Roman" w:cs="Times New Roman"/>
          <w:color w:val="000000"/>
          <w:sz w:val="24"/>
          <w:szCs w:val="24"/>
          <w:lang w:eastAsia="fi-FI"/>
        </w:rPr>
        <w:t xml:space="preserve">governance in England (Scotland, Wales and Northern Ireland have </w:t>
      </w:r>
      <w:r w:rsidR="00232CF7">
        <w:rPr>
          <w:rFonts w:eastAsia="Times New Roman" w:cs="Times New Roman"/>
          <w:color w:val="000000"/>
          <w:sz w:val="24"/>
          <w:szCs w:val="24"/>
          <w:lang w:eastAsia="fi-FI"/>
        </w:rPr>
        <w:t xml:space="preserve">somewhat </w:t>
      </w:r>
      <w:r w:rsidRPr="00126B2F">
        <w:rPr>
          <w:rFonts w:eastAsia="Times New Roman" w:cs="Times New Roman"/>
          <w:color w:val="000000"/>
          <w:sz w:val="24"/>
          <w:szCs w:val="24"/>
          <w:lang w:eastAsia="fi-FI"/>
        </w:rPr>
        <w:t xml:space="preserve">different systems) now consists of </w:t>
      </w:r>
      <w:r w:rsidR="001704EA" w:rsidRPr="00126B2F">
        <w:rPr>
          <w:rFonts w:eastAsia="Times New Roman" w:cs="Times New Roman"/>
          <w:color w:val="000000"/>
          <w:sz w:val="24"/>
          <w:szCs w:val="24"/>
          <w:lang w:eastAsia="fi-FI"/>
        </w:rPr>
        <w:t xml:space="preserve">loose </w:t>
      </w:r>
      <w:r w:rsidRPr="00126B2F">
        <w:rPr>
          <w:rFonts w:eastAsia="Times New Roman" w:cs="Times New Roman"/>
          <w:color w:val="000000"/>
          <w:sz w:val="24"/>
          <w:szCs w:val="24"/>
          <w:lang w:eastAsia="fi-FI"/>
        </w:rPr>
        <w:t xml:space="preserve">state </w:t>
      </w:r>
      <w:r w:rsidRPr="00126B2F">
        <w:rPr>
          <w:rFonts w:eastAsia="Times New Roman" w:cs="Times New Roman"/>
          <w:color w:val="000000"/>
          <w:sz w:val="24"/>
          <w:szCs w:val="24"/>
          <w:lang w:eastAsia="fi-FI"/>
        </w:rPr>
        <w:lastRenderedPageBreak/>
        <w:t xml:space="preserve">regulation of the emerging competitive higher education market </w:t>
      </w:r>
      <w:r w:rsidR="00E2587E" w:rsidRPr="00126B2F">
        <w:rPr>
          <w:rFonts w:eastAsia="Times New Roman" w:cs="Times New Roman"/>
          <w:color w:val="000000"/>
          <w:sz w:val="24"/>
          <w:szCs w:val="24"/>
          <w:lang w:eastAsia="fi-FI"/>
        </w:rPr>
        <w:t>through the Office for Students</w:t>
      </w:r>
      <w:r w:rsidRPr="00126B2F">
        <w:rPr>
          <w:rFonts w:eastAsia="Times New Roman" w:cs="Times New Roman"/>
          <w:color w:val="000000"/>
          <w:sz w:val="24"/>
          <w:szCs w:val="24"/>
          <w:lang w:eastAsia="fi-FI"/>
        </w:rPr>
        <w:t xml:space="preserve">. </w:t>
      </w:r>
    </w:p>
    <w:bookmarkEnd w:id="1"/>
    <w:p w14:paraId="47EC477D" w14:textId="77777777" w:rsidR="00DF054E" w:rsidRPr="00126B2F" w:rsidRDefault="00DF054E" w:rsidP="00F7771F">
      <w:pPr>
        <w:spacing w:after="0" w:line="360" w:lineRule="auto"/>
        <w:rPr>
          <w:rFonts w:cs="Times New Roman"/>
          <w:color w:val="FF0000"/>
          <w:sz w:val="24"/>
          <w:szCs w:val="24"/>
        </w:rPr>
      </w:pPr>
    </w:p>
    <w:p w14:paraId="6554877C" w14:textId="3DF706D7" w:rsidR="009877B1" w:rsidRPr="00126B2F" w:rsidRDefault="009877B1" w:rsidP="00F7771F">
      <w:pPr>
        <w:autoSpaceDE w:val="0"/>
        <w:autoSpaceDN w:val="0"/>
        <w:adjustRightInd w:val="0"/>
        <w:spacing w:after="0" w:line="360" w:lineRule="auto"/>
        <w:rPr>
          <w:rFonts w:cs="Times New Roman"/>
          <w:sz w:val="24"/>
          <w:szCs w:val="24"/>
        </w:rPr>
      </w:pPr>
      <w:r w:rsidRPr="00126B2F">
        <w:rPr>
          <w:rFonts w:cs="Times New Roman"/>
          <w:sz w:val="24"/>
          <w:szCs w:val="24"/>
        </w:rPr>
        <w:t xml:space="preserve">The UK has a similar history to Australia’s on </w:t>
      </w:r>
      <w:r w:rsidR="00806CDB" w:rsidRPr="00126B2F">
        <w:rPr>
          <w:rFonts w:cs="Times New Roman"/>
          <w:sz w:val="24"/>
          <w:szCs w:val="24"/>
        </w:rPr>
        <w:t xml:space="preserve">the setting of </w:t>
      </w:r>
      <w:r w:rsidRPr="00126B2F">
        <w:rPr>
          <w:rFonts w:cs="Times New Roman"/>
          <w:sz w:val="24"/>
          <w:szCs w:val="24"/>
        </w:rPr>
        <w:t>academic staff salaries. After 1945, the University Grants Commission (which channelled government funding) determined salaries and pay scales</w:t>
      </w:r>
      <w:r w:rsidR="002C04B2" w:rsidRPr="00126B2F">
        <w:rPr>
          <w:rFonts w:cs="Times New Roman"/>
          <w:sz w:val="24"/>
          <w:szCs w:val="24"/>
        </w:rPr>
        <w:t xml:space="preserve"> in consultation with the academic union</w:t>
      </w:r>
      <w:r w:rsidRPr="00126B2F">
        <w:rPr>
          <w:rFonts w:cs="Times New Roman"/>
          <w:sz w:val="24"/>
          <w:szCs w:val="24"/>
        </w:rPr>
        <w:t>. From the 1960s this role was undertaken by the Universities Authorities Panel and, from 1987, the Universities and Colleges Employers Association</w:t>
      </w:r>
      <w:r w:rsidR="0097663D">
        <w:rPr>
          <w:rFonts w:cs="Times New Roman"/>
          <w:sz w:val="24"/>
          <w:szCs w:val="24"/>
        </w:rPr>
        <w:t>—</w:t>
      </w:r>
      <w:r w:rsidRPr="00126B2F">
        <w:rPr>
          <w:rFonts w:cs="Times New Roman"/>
          <w:sz w:val="24"/>
          <w:szCs w:val="24"/>
        </w:rPr>
        <w:t xml:space="preserve">both </w:t>
      </w:r>
      <w:r w:rsidR="002C04B2" w:rsidRPr="00126B2F">
        <w:rPr>
          <w:rFonts w:cs="Times New Roman"/>
          <w:sz w:val="24"/>
          <w:szCs w:val="24"/>
        </w:rPr>
        <w:t xml:space="preserve">employers’ </w:t>
      </w:r>
      <w:r w:rsidRPr="00126B2F">
        <w:rPr>
          <w:rFonts w:cs="Times New Roman"/>
          <w:sz w:val="24"/>
          <w:szCs w:val="24"/>
        </w:rPr>
        <w:t>associations (Rani</w:t>
      </w:r>
      <w:r w:rsidR="00CC38AD" w:rsidRPr="00126B2F">
        <w:rPr>
          <w:rFonts w:cs="Times New Roman"/>
          <w:sz w:val="24"/>
          <w:szCs w:val="24"/>
        </w:rPr>
        <w:t>,</w:t>
      </w:r>
      <w:r w:rsidRPr="00126B2F">
        <w:rPr>
          <w:rFonts w:cs="Times New Roman"/>
          <w:sz w:val="24"/>
          <w:szCs w:val="24"/>
        </w:rPr>
        <w:t xml:space="preserve"> 2009). In 2004, a new academic pay framework and ‘salary spine’ was agreed</w:t>
      </w:r>
      <w:r w:rsidR="002C04B2" w:rsidRPr="00126B2F">
        <w:rPr>
          <w:rFonts w:cs="Times New Roman"/>
          <w:sz w:val="24"/>
          <w:szCs w:val="24"/>
        </w:rPr>
        <w:t xml:space="preserve"> with the unions</w:t>
      </w:r>
      <w:r w:rsidRPr="00126B2F">
        <w:rPr>
          <w:rFonts w:cs="Times New Roman"/>
          <w:sz w:val="24"/>
          <w:szCs w:val="24"/>
        </w:rPr>
        <w:t>, allowing some local flexibility based on job evaluation, in response to growing realisation that academic salaries were not competitive (Rani</w:t>
      </w:r>
      <w:r w:rsidR="00CC38AD" w:rsidRPr="00126B2F">
        <w:rPr>
          <w:rFonts w:cs="Times New Roman"/>
          <w:sz w:val="24"/>
          <w:szCs w:val="24"/>
        </w:rPr>
        <w:t>,</w:t>
      </w:r>
      <w:r w:rsidRPr="00126B2F">
        <w:rPr>
          <w:rFonts w:cs="Times New Roman"/>
          <w:sz w:val="24"/>
          <w:szCs w:val="24"/>
        </w:rPr>
        <w:t xml:space="preserve"> 2009). The framework for academic salaries is</w:t>
      </w:r>
      <w:r w:rsidR="00806CDB" w:rsidRPr="00126B2F">
        <w:rPr>
          <w:rFonts w:cs="Times New Roman"/>
          <w:sz w:val="24"/>
          <w:szCs w:val="24"/>
        </w:rPr>
        <w:t xml:space="preserve"> now</w:t>
      </w:r>
      <w:r w:rsidRPr="00126B2F">
        <w:rPr>
          <w:rFonts w:cs="Times New Roman"/>
          <w:sz w:val="24"/>
          <w:szCs w:val="24"/>
        </w:rPr>
        <w:t xml:space="preserve"> set collectively</w:t>
      </w:r>
      <w:r w:rsidR="002C04B2" w:rsidRPr="00126B2F">
        <w:rPr>
          <w:rFonts w:cs="Times New Roman"/>
          <w:sz w:val="24"/>
          <w:szCs w:val="24"/>
        </w:rPr>
        <w:t>,</w:t>
      </w:r>
      <w:r w:rsidRPr="00126B2F">
        <w:rPr>
          <w:rFonts w:cs="Times New Roman"/>
          <w:sz w:val="24"/>
          <w:szCs w:val="24"/>
        </w:rPr>
        <w:t xml:space="preserve"> but there is local discretion on </w:t>
      </w:r>
      <w:r w:rsidR="00F5006D" w:rsidRPr="00126B2F">
        <w:rPr>
          <w:rFonts w:cs="Times New Roman"/>
          <w:sz w:val="24"/>
          <w:szCs w:val="24"/>
        </w:rPr>
        <w:t xml:space="preserve">bargaining and </w:t>
      </w:r>
      <w:r w:rsidRPr="00126B2F">
        <w:rPr>
          <w:rFonts w:cs="Times New Roman"/>
          <w:sz w:val="24"/>
          <w:szCs w:val="24"/>
        </w:rPr>
        <w:t>implementation.</w:t>
      </w:r>
    </w:p>
    <w:p w14:paraId="76DE989A" w14:textId="77777777" w:rsidR="009877B1" w:rsidRPr="00126B2F" w:rsidRDefault="009877B1" w:rsidP="00F7771F">
      <w:pPr>
        <w:autoSpaceDE w:val="0"/>
        <w:autoSpaceDN w:val="0"/>
        <w:adjustRightInd w:val="0"/>
        <w:spacing w:after="0" w:line="360" w:lineRule="auto"/>
        <w:rPr>
          <w:rFonts w:cs="Times New Roman"/>
          <w:sz w:val="24"/>
          <w:szCs w:val="24"/>
        </w:rPr>
      </w:pPr>
    </w:p>
    <w:p w14:paraId="0187DF57" w14:textId="7A9CB06A" w:rsidR="00F7771F" w:rsidRDefault="009877B1" w:rsidP="00F7771F">
      <w:pPr>
        <w:pStyle w:val="NormalWeb"/>
        <w:shd w:val="clear" w:color="auto" w:fill="FFFFFF"/>
        <w:spacing w:before="0" w:beforeAutospacing="0" w:after="0" w:afterAutospacing="0" w:line="360" w:lineRule="auto"/>
        <w:rPr>
          <w:rFonts w:asciiTheme="minorHAnsi" w:hAnsiTheme="minorHAnsi"/>
          <w:color w:val="000000"/>
          <w:lang w:eastAsia="fi-FI"/>
        </w:rPr>
      </w:pPr>
      <w:r w:rsidRPr="00126B2F">
        <w:rPr>
          <w:rFonts w:asciiTheme="minorHAnsi" w:hAnsiTheme="minorHAnsi"/>
        </w:rPr>
        <w:t xml:space="preserve">VCs </w:t>
      </w:r>
      <w:r w:rsidR="006D1B57" w:rsidRPr="00126B2F">
        <w:rPr>
          <w:rFonts w:asciiTheme="minorHAnsi" w:hAnsiTheme="minorHAnsi"/>
        </w:rPr>
        <w:t>remuneration</w:t>
      </w:r>
      <w:r w:rsidR="00E2587E" w:rsidRPr="00126B2F">
        <w:rPr>
          <w:rFonts w:asciiTheme="minorHAnsi" w:hAnsiTheme="minorHAnsi"/>
        </w:rPr>
        <w:t>,</w:t>
      </w:r>
      <w:r w:rsidRPr="00126B2F">
        <w:rPr>
          <w:rFonts w:asciiTheme="minorHAnsi" w:hAnsiTheme="minorHAnsi"/>
        </w:rPr>
        <w:t xml:space="preserve"> in </w:t>
      </w:r>
      <w:r w:rsidR="00E2587E" w:rsidRPr="00126B2F">
        <w:rPr>
          <w:rFonts w:asciiTheme="minorHAnsi" w:hAnsiTheme="minorHAnsi"/>
        </w:rPr>
        <w:t xml:space="preserve">contrast, </w:t>
      </w:r>
      <w:r w:rsidRPr="00126B2F">
        <w:rPr>
          <w:rFonts w:asciiTheme="minorHAnsi" w:hAnsiTheme="minorHAnsi"/>
        </w:rPr>
        <w:t xml:space="preserve">has always been at the discretion of </w:t>
      </w:r>
      <w:r w:rsidR="001704EA" w:rsidRPr="00126B2F">
        <w:rPr>
          <w:rFonts w:asciiTheme="minorHAnsi" w:hAnsiTheme="minorHAnsi"/>
        </w:rPr>
        <w:t xml:space="preserve">each </w:t>
      </w:r>
      <w:r w:rsidRPr="00126B2F">
        <w:rPr>
          <w:rFonts w:asciiTheme="minorHAnsi" w:hAnsiTheme="minorHAnsi"/>
        </w:rPr>
        <w:t>university</w:t>
      </w:r>
      <w:r w:rsidR="00840CD0" w:rsidRPr="00126B2F">
        <w:rPr>
          <w:rFonts w:asciiTheme="minorHAnsi" w:hAnsiTheme="minorHAnsi"/>
        </w:rPr>
        <w:t xml:space="preserve"> with no external controls</w:t>
      </w:r>
      <w:r w:rsidR="00BE295C" w:rsidRPr="00126B2F">
        <w:rPr>
          <w:rFonts w:asciiTheme="minorHAnsi" w:hAnsiTheme="minorHAnsi"/>
        </w:rPr>
        <w:t>.</w:t>
      </w:r>
      <w:r w:rsidR="00ED74A3" w:rsidRPr="00126B2F">
        <w:rPr>
          <w:rFonts w:asciiTheme="minorHAnsi" w:hAnsiTheme="minorHAnsi"/>
        </w:rPr>
        <w:t xml:space="preserve"> </w:t>
      </w:r>
      <w:r w:rsidR="005D0BDA" w:rsidRPr="00126B2F">
        <w:rPr>
          <w:rFonts w:asciiTheme="minorHAnsi" w:hAnsiTheme="minorHAnsi"/>
        </w:rPr>
        <w:t xml:space="preserve">Unlike Australia, the </w:t>
      </w:r>
      <w:r w:rsidR="00D779A3" w:rsidRPr="00126B2F">
        <w:rPr>
          <w:rFonts w:asciiTheme="minorHAnsi" w:hAnsiTheme="minorHAnsi"/>
        </w:rPr>
        <w:t>British</w:t>
      </w:r>
      <w:r w:rsidR="005D0BDA" w:rsidRPr="00126B2F">
        <w:rPr>
          <w:rFonts w:asciiTheme="minorHAnsi" w:hAnsiTheme="minorHAnsi"/>
        </w:rPr>
        <w:t xml:space="preserve"> government </w:t>
      </w:r>
      <w:r w:rsidR="00D779A3" w:rsidRPr="00126B2F">
        <w:rPr>
          <w:rFonts w:asciiTheme="minorHAnsi" w:hAnsiTheme="minorHAnsi"/>
        </w:rPr>
        <w:t>never</w:t>
      </w:r>
      <w:r w:rsidR="005D0BDA" w:rsidRPr="00126B2F">
        <w:rPr>
          <w:rFonts w:asciiTheme="minorHAnsi" w:hAnsiTheme="minorHAnsi"/>
        </w:rPr>
        <w:t xml:space="preserve"> sought to control remuneration</w:t>
      </w:r>
      <w:r w:rsidR="00D779A3" w:rsidRPr="00126B2F">
        <w:rPr>
          <w:rFonts w:asciiTheme="minorHAnsi" w:hAnsiTheme="minorHAnsi"/>
        </w:rPr>
        <w:t xml:space="preserve">, but has </w:t>
      </w:r>
      <w:r w:rsidR="0097663D" w:rsidRPr="00126B2F">
        <w:rPr>
          <w:rFonts w:asciiTheme="minorHAnsi" w:hAnsiTheme="minorHAnsi"/>
        </w:rPr>
        <w:t>pursued</w:t>
      </w:r>
      <w:r w:rsidR="00D779A3" w:rsidRPr="00126B2F">
        <w:rPr>
          <w:rFonts w:asciiTheme="minorHAnsi" w:hAnsiTheme="minorHAnsi"/>
        </w:rPr>
        <w:t xml:space="preserve"> </w:t>
      </w:r>
      <w:r w:rsidR="00C247B5" w:rsidRPr="00126B2F">
        <w:rPr>
          <w:rFonts w:asciiTheme="minorHAnsi" w:hAnsiTheme="minorHAnsi"/>
        </w:rPr>
        <w:t xml:space="preserve">market </w:t>
      </w:r>
      <w:r w:rsidR="00D779A3" w:rsidRPr="00126B2F">
        <w:rPr>
          <w:rFonts w:asciiTheme="minorHAnsi" w:hAnsiTheme="minorHAnsi"/>
        </w:rPr>
        <w:t>mechanism</w:t>
      </w:r>
      <w:r w:rsidR="00C247B5" w:rsidRPr="00126B2F">
        <w:rPr>
          <w:rFonts w:asciiTheme="minorHAnsi" w:hAnsiTheme="minorHAnsi"/>
        </w:rPr>
        <w:t>s to correct information asymmetries</w:t>
      </w:r>
      <w:r w:rsidR="00AF7588" w:rsidRPr="00126B2F">
        <w:rPr>
          <w:rFonts w:asciiTheme="minorHAnsi" w:hAnsiTheme="minorHAnsi"/>
        </w:rPr>
        <w:t>. I</w:t>
      </w:r>
      <w:r w:rsidR="00E2587E" w:rsidRPr="00126B2F">
        <w:rPr>
          <w:rFonts w:asciiTheme="minorHAnsi" w:hAnsiTheme="minorHAnsi"/>
        </w:rPr>
        <w:t>n 1994</w:t>
      </w:r>
      <w:r w:rsidR="00D779A3" w:rsidRPr="00126B2F">
        <w:rPr>
          <w:rFonts w:asciiTheme="minorHAnsi" w:hAnsiTheme="minorHAnsi"/>
        </w:rPr>
        <w:t>,</w:t>
      </w:r>
      <w:r w:rsidR="00E2587E" w:rsidRPr="00126B2F">
        <w:rPr>
          <w:rFonts w:asciiTheme="minorHAnsi" w:hAnsiTheme="minorHAnsi"/>
        </w:rPr>
        <w:t xml:space="preserve"> </w:t>
      </w:r>
      <w:r w:rsidR="00C247B5" w:rsidRPr="00126B2F">
        <w:rPr>
          <w:rFonts w:asciiTheme="minorHAnsi" w:hAnsiTheme="minorHAnsi"/>
        </w:rPr>
        <w:t xml:space="preserve">it </w:t>
      </w:r>
      <w:r w:rsidR="00E2587E" w:rsidRPr="00126B2F">
        <w:rPr>
          <w:rFonts w:asciiTheme="minorHAnsi" w:hAnsiTheme="minorHAnsi"/>
        </w:rPr>
        <w:t>required universities, as with private firms’, to declare senior staff remuneration in their annual financial accounts (</w:t>
      </w:r>
      <w:proofErr w:type="spellStart"/>
      <w:r w:rsidR="00E2587E" w:rsidRPr="00126B2F">
        <w:rPr>
          <w:rFonts w:asciiTheme="minorHAnsi" w:hAnsiTheme="minorHAnsi"/>
        </w:rPr>
        <w:t>Baimbridge</w:t>
      </w:r>
      <w:proofErr w:type="spellEnd"/>
      <w:r w:rsidR="00E2587E" w:rsidRPr="00126B2F">
        <w:rPr>
          <w:rFonts w:asciiTheme="minorHAnsi" w:hAnsiTheme="minorHAnsi"/>
        </w:rPr>
        <w:t xml:space="preserve"> </w:t>
      </w:r>
      <w:r w:rsidR="0097663D">
        <w:rPr>
          <w:rFonts w:asciiTheme="minorHAnsi" w:hAnsiTheme="minorHAnsi"/>
        </w:rPr>
        <w:t>&amp;</w:t>
      </w:r>
      <w:r w:rsidR="00E2587E" w:rsidRPr="00126B2F">
        <w:rPr>
          <w:rFonts w:asciiTheme="minorHAnsi" w:hAnsiTheme="minorHAnsi"/>
        </w:rPr>
        <w:t xml:space="preserve"> Simpson, 1996)</w:t>
      </w:r>
      <w:r w:rsidR="003E20E8" w:rsidRPr="00126B2F">
        <w:rPr>
          <w:rFonts w:asciiTheme="minorHAnsi" w:hAnsiTheme="minorHAnsi"/>
        </w:rPr>
        <w:t xml:space="preserve"> (a requirement mirrored in Australia)</w:t>
      </w:r>
      <w:r w:rsidR="00E2587E" w:rsidRPr="00126B2F">
        <w:rPr>
          <w:rFonts w:asciiTheme="minorHAnsi" w:hAnsiTheme="minorHAnsi"/>
        </w:rPr>
        <w:t xml:space="preserve">. In private firms such disclosures are designed to discipline agents towards not exploiting information asymmetries by highlighting their share of finite organisational resources.  </w:t>
      </w:r>
      <w:r w:rsidR="00CC3DB1" w:rsidRPr="00126B2F">
        <w:rPr>
          <w:rFonts w:asciiTheme="minorHAnsi" w:hAnsiTheme="minorHAnsi"/>
          <w:color w:val="000000"/>
        </w:rPr>
        <w:t xml:space="preserve">The </w:t>
      </w:r>
      <w:r w:rsidR="00C247B5" w:rsidRPr="00126B2F">
        <w:rPr>
          <w:rFonts w:asciiTheme="minorHAnsi" w:hAnsiTheme="minorHAnsi"/>
          <w:color w:val="000000"/>
        </w:rPr>
        <w:t xml:space="preserve">present regulator, the </w:t>
      </w:r>
      <w:r w:rsidR="00CC3DB1" w:rsidRPr="00126B2F">
        <w:rPr>
          <w:rFonts w:asciiTheme="minorHAnsi" w:hAnsiTheme="minorHAnsi"/>
          <w:color w:val="000000"/>
        </w:rPr>
        <w:t>Office for Students notes that it ‘</w:t>
      </w:r>
      <w:r w:rsidR="00CC3DB1" w:rsidRPr="00126B2F">
        <w:rPr>
          <w:rFonts w:asciiTheme="minorHAnsi" w:hAnsiTheme="minorHAnsi"/>
          <w:color w:val="333333"/>
        </w:rPr>
        <w:t>does not have legal powers to regulate the pay of senior staff in the higher education sector directly’ but does acknowledge that it has a ‘duty to take into account the value for money higher education providers offer for the public money they receive’ (</w:t>
      </w:r>
      <w:proofErr w:type="spellStart"/>
      <w:r w:rsidR="00CC3DB1" w:rsidRPr="00126B2F">
        <w:rPr>
          <w:rFonts w:asciiTheme="minorHAnsi" w:hAnsiTheme="minorHAnsi"/>
          <w:color w:val="333333"/>
        </w:rPr>
        <w:t>OfS</w:t>
      </w:r>
      <w:proofErr w:type="spellEnd"/>
      <w:r w:rsidR="00CC3DB1" w:rsidRPr="00126B2F">
        <w:rPr>
          <w:rFonts w:asciiTheme="minorHAnsi" w:hAnsiTheme="minorHAnsi"/>
          <w:color w:val="333333"/>
        </w:rPr>
        <w:t xml:space="preserve">, 2020). </w:t>
      </w:r>
      <w:r w:rsidR="00E2587E" w:rsidRPr="00126B2F">
        <w:rPr>
          <w:rFonts w:asciiTheme="minorHAnsi" w:hAnsiTheme="minorHAnsi"/>
          <w:color w:val="333333"/>
        </w:rPr>
        <w:t>It executes this duty in part via market means, re</w:t>
      </w:r>
      <w:r w:rsidR="00AD678B" w:rsidRPr="00126B2F">
        <w:rPr>
          <w:rFonts w:asciiTheme="minorHAnsi" w:hAnsiTheme="minorHAnsi"/>
          <w:color w:val="333333"/>
        </w:rPr>
        <w:t xml:space="preserve">cently requiring and publishing </w:t>
      </w:r>
      <w:r w:rsidR="00CC3DB1" w:rsidRPr="00126B2F">
        <w:rPr>
          <w:rFonts w:asciiTheme="minorHAnsi" w:hAnsiTheme="minorHAnsi"/>
          <w:color w:val="333333"/>
        </w:rPr>
        <w:t>specifi</w:t>
      </w:r>
      <w:r w:rsidR="00E2587E" w:rsidRPr="00126B2F">
        <w:rPr>
          <w:rFonts w:asciiTheme="minorHAnsi" w:hAnsiTheme="minorHAnsi"/>
          <w:color w:val="333333"/>
        </w:rPr>
        <w:t>ed</w:t>
      </w:r>
      <w:r w:rsidR="00CC3DB1" w:rsidRPr="00126B2F">
        <w:rPr>
          <w:rFonts w:asciiTheme="minorHAnsi" w:hAnsiTheme="minorHAnsi"/>
          <w:color w:val="333333"/>
        </w:rPr>
        <w:t xml:space="preserve"> information on staff pay</w:t>
      </w:r>
      <w:r w:rsidR="00E2587E" w:rsidRPr="00126B2F">
        <w:rPr>
          <w:rFonts w:asciiTheme="minorHAnsi" w:hAnsiTheme="minorHAnsi"/>
          <w:color w:val="333333"/>
        </w:rPr>
        <w:t xml:space="preserve">, and </w:t>
      </w:r>
      <w:r w:rsidR="00CC3DB1" w:rsidRPr="00126B2F">
        <w:rPr>
          <w:rFonts w:asciiTheme="minorHAnsi" w:hAnsiTheme="minorHAnsi"/>
          <w:color w:val="333333"/>
        </w:rPr>
        <w:t xml:space="preserve">the </w:t>
      </w:r>
      <w:r w:rsidR="00E2587E" w:rsidRPr="00126B2F">
        <w:rPr>
          <w:rFonts w:asciiTheme="minorHAnsi" w:hAnsiTheme="minorHAnsi"/>
          <w:color w:val="333333"/>
        </w:rPr>
        <w:t>disclosure</w:t>
      </w:r>
      <w:r w:rsidR="00CC3DB1" w:rsidRPr="00126B2F">
        <w:rPr>
          <w:rFonts w:asciiTheme="minorHAnsi" w:hAnsiTheme="minorHAnsi"/>
          <w:color w:val="333333"/>
        </w:rPr>
        <w:t xml:space="preserve"> of </w:t>
      </w:r>
      <w:r w:rsidR="00E2587E" w:rsidRPr="00126B2F">
        <w:rPr>
          <w:rFonts w:asciiTheme="minorHAnsi" w:hAnsiTheme="minorHAnsi"/>
          <w:color w:val="333333"/>
        </w:rPr>
        <w:t xml:space="preserve">VC remuneration </w:t>
      </w:r>
      <w:r w:rsidR="00CC3DB1" w:rsidRPr="00126B2F">
        <w:rPr>
          <w:rFonts w:asciiTheme="minorHAnsi" w:hAnsiTheme="minorHAnsi"/>
          <w:color w:val="333333"/>
        </w:rPr>
        <w:t>information in the universities’ audited financial statements</w:t>
      </w:r>
      <w:r w:rsidR="00FF2A7E" w:rsidRPr="00126B2F">
        <w:rPr>
          <w:rFonts w:asciiTheme="minorHAnsi" w:hAnsiTheme="minorHAnsi"/>
          <w:color w:val="000000"/>
          <w:lang w:eastAsia="fi-FI"/>
        </w:rPr>
        <w:t xml:space="preserve">. </w:t>
      </w:r>
    </w:p>
    <w:p w14:paraId="26E318AB" w14:textId="77777777" w:rsidR="00F7771F" w:rsidRDefault="00F7771F" w:rsidP="00F7771F">
      <w:pPr>
        <w:pStyle w:val="NormalWeb"/>
        <w:shd w:val="clear" w:color="auto" w:fill="FFFFFF"/>
        <w:spacing w:before="0" w:beforeAutospacing="0" w:after="0" w:afterAutospacing="0" w:line="360" w:lineRule="auto"/>
        <w:rPr>
          <w:rFonts w:asciiTheme="minorHAnsi" w:hAnsiTheme="minorHAnsi"/>
          <w:color w:val="000000"/>
          <w:lang w:eastAsia="fi-FI"/>
        </w:rPr>
      </w:pPr>
    </w:p>
    <w:p w14:paraId="3399C771" w14:textId="0C5E7E7B" w:rsidR="00393BC5" w:rsidRPr="00F7771F" w:rsidRDefault="00BE295C" w:rsidP="00F7771F">
      <w:pPr>
        <w:pStyle w:val="NormalWeb"/>
        <w:shd w:val="clear" w:color="auto" w:fill="FFFFFF"/>
        <w:spacing w:before="0" w:beforeAutospacing="0" w:after="0" w:afterAutospacing="0" w:line="360" w:lineRule="auto"/>
        <w:rPr>
          <w:rFonts w:asciiTheme="minorHAnsi" w:hAnsiTheme="minorHAnsi"/>
          <w:color w:val="000000"/>
          <w:lang w:eastAsia="fi-FI"/>
        </w:rPr>
      </w:pPr>
      <w:proofErr w:type="spellStart"/>
      <w:r w:rsidRPr="00126B2F">
        <w:rPr>
          <w:rFonts w:asciiTheme="minorHAnsi" w:hAnsiTheme="minorHAnsi"/>
        </w:rPr>
        <w:t>Baimbridge</w:t>
      </w:r>
      <w:proofErr w:type="spellEnd"/>
      <w:r w:rsidRPr="00126B2F">
        <w:rPr>
          <w:rFonts w:asciiTheme="minorHAnsi" w:hAnsiTheme="minorHAnsi"/>
        </w:rPr>
        <w:t xml:space="preserve"> and Simpson (1996) correctly hypothesised that the ending of local authority control over the old polytechnics and colleges as they entered the university sector (becoming the ‘post-1992s’) would lead to a rapid escalation in VC remuneration. </w:t>
      </w:r>
      <w:proofErr w:type="spellStart"/>
      <w:r w:rsidR="003E20E8" w:rsidRPr="00126B2F">
        <w:rPr>
          <w:rFonts w:asciiTheme="minorHAnsi" w:hAnsiTheme="minorHAnsi"/>
          <w:color w:val="000000"/>
        </w:rPr>
        <w:t>Bachan</w:t>
      </w:r>
      <w:proofErr w:type="spellEnd"/>
      <w:r w:rsidR="003E20E8" w:rsidRPr="00126B2F">
        <w:rPr>
          <w:rFonts w:asciiTheme="minorHAnsi" w:hAnsiTheme="minorHAnsi"/>
          <w:color w:val="000000"/>
        </w:rPr>
        <w:t xml:space="preserve"> </w:t>
      </w:r>
      <w:r w:rsidR="003E20E8" w:rsidRPr="00126B2F">
        <w:rPr>
          <w:rFonts w:asciiTheme="minorHAnsi" w:hAnsiTheme="minorHAnsi"/>
          <w:color w:val="000000"/>
        </w:rPr>
        <w:lastRenderedPageBreak/>
        <w:t>and Reilly (2015</w:t>
      </w:r>
      <w:r w:rsidR="00742C7F" w:rsidRPr="00126B2F">
        <w:rPr>
          <w:rFonts w:asciiTheme="minorHAnsi" w:hAnsiTheme="minorHAnsi"/>
          <w:color w:val="000000"/>
        </w:rPr>
        <w:t>, p. 53</w:t>
      </w:r>
      <w:r w:rsidR="003E20E8" w:rsidRPr="00126B2F">
        <w:rPr>
          <w:rFonts w:asciiTheme="minorHAnsi" w:hAnsiTheme="minorHAnsi"/>
          <w:color w:val="000000"/>
        </w:rPr>
        <w:t>)</w:t>
      </w:r>
      <w:r w:rsidR="00742C7F" w:rsidRPr="00126B2F">
        <w:rPr>
          <w:rFonts w:asciiTheme="minorHAnsi" w:hAnsiTheme="minorHAnsi"/>
          <w:color w:val="000000"/>
        </w:rPr>
        <w:t xml:space="preserve"> </w:t>
      </w:r>
      <w:r w:rsidR="00742C7F" w:rsidRPr="00126B2F">
        <w:rPr>
          <w:rFonts w:asciiTheme="minorHAnsi" w:hAnsiTheme="minorHAnsi"/>
        </w:rPr>
        <w:t xml:space="preserve">detail </w:t>
      </w:r>
      <w:r w:rsidR="00CC3DB1" w:rsidRPr="00126B2F">
        <w:rPr>
          <w:rFonts w:asciiTheme="minorHAnsi" w:hAnsiTheme="minorHAnsi"/>
        </w:rPr>
        <w:t xml:space="preserve">the remarkable </w:t>
      </w:r>
      <w:r w:rsidRPr="00126B2F">
        <w:rPr>
          <w:rFonts w:asciiTheme="minorHAnsi" w:hAnsiTheme="minorHAnsi"/>
        </w:rPr>
        <w:t xml:space="preserve">59% </w:t>
      </w:r>
      <w:r w:rsidR="00CC3DB1" w:rsidRPr="00126B2F">
        <w:rPr>
          <w:rFonts w:asciiTheme="minorHAnsi" w:hAnsiTheme="minorHAnsi"/>
        </w:rPr>
        <w:t xml:space="preserve">remuneration growth </w:t>
      </w:r>
      <w:r w:rsidR="00C247B5" w:rsidRPr="00126B2F">
        <w:rPr>
          <w:rFonts w:asciiTheme="minorHAnsi" w:hAnsiTheme="minorHAnsi"/>
        </w:rPr>
        <w:t>(</w:t>
      </w:r>
      <w:r w:rsidRPr="00126B2F">
        <w:rPr>
          <w:rFonts w:asciiTheme="minorHAnsi" w:hAnsiTheme="minorHAnsi"/>
        </w:rPr>
        <w:t>in real terms</w:t>
      </w:r>
      <w:r w:rsidR="00C247B5" w:rsidRPr="00126B2F">
        <w:rPr>
          <w:rFonts w:asciiTheme="minorHAnsi" w:hAnsiTheme="minorHAnsi"/>
        </w:rPr>
        <w:t>)</w:t>
      </w:r>
      <w:r w:rsidRPr="00126B2F">
        <w:rPr>
          <w:rFonts w:asciiTheme="minorHAnsi" w:hAnsiTheme="minorHAnsi"/>
        </w:rPr>
        <w:t xml:space="preserve"> </w:t>
      </w:r>
      <w:r w:rsidR="00CC3DB1" w:rsidRPr="00126B2F">
        <w:rPr>
          <w:rFonts w:asciiTheme="minorHAnsi" w:hAnsiTheme="minorHAnsi"/>
        </w:rPr>
        <w:t xml:space="preserve">enjoyed </w:t>
      </w:r>
      <w:r w:rsidRPr="00126B2F">
        <w:rPr>
          <w:rFonts w:asciiTheme="minorHAnsi" w:hAnsiTheme="minorHAnsi"/>
        </w:rPr>
        <w:t xml:space="preserve">across the sector between 1997 and 2009. </w:t>
      </w:r>
      <w:r w:rsidR="000E6301" w:rsidRPr="00126B2F">
        <w:rPr>
          <w:rFonts w:asciiTheme="minorHAnsi" w:hAnsiTheme="minorHAnsi"/>
        </w:rPr>
        <w:t xml:space="preserve">Table </w:t>
      </w:r>
      <w:r w:rsidR="00AD678B" w:rsidRPr="00126B2F">
        <w:rPr>
          <w:rFonts w:asciiTheme="minorHAnsi" w:hAnsiTheme="minorHAnsi"/>
        </w:rPr>
        <w:t>2</w:t>
      </w:r>
      <w:r w:rsidR="000E6301" w:rsidRPr="00126B2F">
        <w:rPr>
          <w:rFonts w:asciiTheme="minorHAnsi" w:hAnsiTheme="minorHAnsi"/>
        </w:rPr>
        <w:t xml:space="preserve"> indicates the </w:t>
      </w:r>
      <w:r w:rsidR="00AD678B" w:rsidRPr="00126B2F">
        <w:rPr>
          <w:rFonts w:asciiTheme="minorHAnsi" w:hAnsiTheme="minorHAnsi"/>
        </w:rPr>
        <w:t>increase</w:t>
      </w:r>
      <w:r w:rsidR="000E6301" w:rsidRPr="00126B2F">
        <w:rPr>
          <w:rFonts w:asciiTheme="minorHAnsi" w:hAnsiTheme="minorHAnsi"/>
        </w:rPr>
        <w:t>s between 2007 and 2015</w:t>
      </w:r>
      <w:r w:rsidR="0097663D">
        <w:rPr>
          <w:rFonts w:asciiTheme="minorHAnsi" w:hAnsiTheme="minorHAnsi"/>
        </w:rPr>
        <w:t>—</w:t>
      </w:r>
      <w:r w:rsidR="00C247B5" w:rsidRPr="00126B2F">
        <w:rPr>
          <w:rFonts w:asciiTheme="minorHAnsi" w:hAnsiTheme="minorHAnsi"/>
        </w:rPr>
        <w:t>which included the Global Financial Crisis and UK austerity policies</w:t>
      </w:r>
      <w:r w:rsidR="000E6301" w:rsidRPr="00126B2F">
        <w:rPr>
          <w:rFonts w:asciiTheme="minorHAnsi" w:hAnsiTheme="minorHAnsi"/>
        </w:rPr>
        <w:t xml:space="preserve">. </w:t>
      </w:r>
      <w:proofErr w:type="spellStart"/>
      <w:r w:rsidRPr="00126B2F">
        <w:rPr>
          <w:rFonts w:asciiTheme="minorHAnsi" w:hAnsiTheme="minorHAnsi"/>
        </w:rPr>
        <w:t>Johnes</w:t>
      </w:r>
      <w:proofErr w:type="spellEnd"/>
      <w:r w:rsidRPr="00126B2F">
        <w:rPr>
          <w:rFonts w:asciiTheme="minorHAnsi" w:hAnsiTheme="minorHAnsi"/>
        </w:rPr>
        <w:t xml:space="preserve"> and </w:t>
      </w:r>
      <w:proofErr w:type="spellStart"/>
      <w:r w:rsidRPr="00126B2F">
        <w:rPr>
          <w:rFonts w:asciiTheme="minorHAnsi" w:hAnsiTheme="minorHAnsi"/>
        </w:rPr>
        <w:t>Virmari</w:t>
      </w:r>
      <w:proofErr w:type="spellEnd"/>
      <w:r w:rsidRPr="00126B2F">
        <w:rPr>
          <w:rFonts w:asciiTheme="minorHAnsi" w:hAnsiTheme="minorHAnsi"/>
        </w:rPr>
        <w:t xml:space="preserve"> (2</w:t>
      </w:r>
      <w:r w:rsidR="007C3902" w:rsidRPr="00126B2F">
        <w:rPr>
          <w:rFonts w:asciiTheme="minorHAnsi" w:hAnsiTheme="minorHAnsi"/>
        </w:rPr>
        <w:t>020</w:t>
      </w:r>
      <w:r w:rsidRPr="00126B2F">
        <w:rPr>
          <w:rFonts w:asciiTheme="minorHAnsi" w:hAnsiTheme="minorHAnsi"/>
        </w:rPr>
        <w:t xml:space="preserve">) also note this rise, </w:t>
      </w:r>
      <w:r w:rsidR="008D68AF" w:rsidRPr="00126B2F">
        <w:rPr>
          <w:rFonts w:asciiTheme="minorHAnsi" w:hAnsiTheme="minorHAnsi"/>
        </w:rPr>
        <w:t>which accelerated when</w:t>
      </w:r>
      <w:r w:rsidRPr="00126B2F">
        <w:rPr>
          <w:rFonts w:asciiTheme="minorHAnsi" w:hAnsiTheme="minorHAnsi"/>
        </w:rPr>
        <w:t xml:space="preserve"> ‘full’ student fees were introduced in 2011 </w:t>
      </w:r>
      <w:r w:rsidR="00C247B5" w:rsidRPr="00126B2F">
        <w:rPr>
          <w:rFonts w:asciiTheme="minorHAnsi" w:hAnsiTheme="minorHAnsi"/>
        </w:rPr>
        <w:t xml:space="preserve">as part of the further marketisation of universities. </w:t>
      </w:r>
    </w:p>
    <w:p w14:paraId="63C6759B" w14:textId="77777777" w:rsidR="00393BC5" w:rsidRPr="00126B2F" w:rsidRDefault="00393BC5" w:rsidP="00F7771F">
      <w:pPr>
        <w:spacing w:after="0" w:line="360" w:lineRule="auto"/>
        <w:rPr>
          <w:rFonts w:cs="Times New Roman"/>
          <w:sz w:val="24"/>
          <w:szCs w:val="24"/>
        </w:rPr>
      </w:pPr>
    </w:p>
    <w:p w14:paraId="7FB90BE3" w14:textId="6A347686" w:rsidR="00937024" w:rsidRDefault="00BE295C" w:rsidP="00F7771F">
      <w:pPr>
        <w:spacing w:after="0" w:line="360" w:lineRule="auto"/>
        <w:rPr>
          <w:rFonts w:cs="Times New Roman"/>
          <w:sz w:val="24"/>
          <w:szCs w:val="24"/>
        </w:rPr>
      </w:pPr>
      <w:r w:rsidRPr="00126B2F">
        <w:rPr>
          <w:rFonts w:cs="Times New Roman"/>
          <w:sz w:val="24"/>
          <w:szCs w:val="24"/>
        </w:rPr>
        <w:t xml:space="preserve">As in Australia, these increases are not indicative of general remuneration increases in the sector. </w:t>
      </w:r>
      <w:r w:rsidR="00CC3DB1" w:rsidRPr="00126B2F">
        <w:rPr>
          <w:rFonts w:cs="Times New Roman"/>
          <w:sz w:val="24"/>
          <w:szCs w:val="24"/>
        </w:rPr>
        <w:t xml:space="preserve"> </w:t>
      </w:r>
      <w:r w:rsidR="00880A3A" w:rsidRPr="00126B2F">
        <w:rPr>
          <w:rFonts w:cs="Times New Roman"/>
          <w:sz w:val="24"/>
          <w:szCs w:val="24"/>
        </w:rPr>
        <w:t xml:space="preserve">In 1993-94 </w:t>
      </w:r>
      <w:r w:rsidR="003E4776" w:rsidRPr="00126B2F">
        <w:rPr>
          <w:rFonts w:cs="Times New Roman"/>
          <w:sz w:val="24"/>
          <w:szCs w:val="24"/>
        </w:rPr>
        <w:t>VCs</w:t>
      </w:r>
      <w:r w:rsidR="00880A3A" w:rsidRPr="00126B2F">
        <w:rPr>
          <w:rFonts w:cs="Times New Roman"/>
          <w:sz w:val="24"/>
          <w:szCs w:val="24"/>
        </w:rPr>
        <w:t>’</w:t>
      </w:r>
      <w:r w:rsidR="003E4776" w:rsidRPr="00126B2F">
        <w:rPr>
          <w:rFonts w:cs="Times New Roman"/>
          <w:sz w:val="24"/>
          <w:szCs w:val="24"/>
        </w:rPr>
        <w:t xml:space="preserve"> salaries average</w:t>
      </w:r>
      <w:r w:rsidR="00C247B5" w:rsidRPr="00126B2F">
        <w:rPr>
          <w:rFonts w:cs="Times New Roman"/>
          <w:sz w:val="24"/>
          <w:szCs w:val="24"/>
        </w:rPr>
        <w:t>d</w:t>
      </w:r>
      <w:r w:rsidR="003E4776" w:rsidRPr="00126B2F">
        <w:rPr>
          <w:rFonts w:cs="Times New Roman"/>
          <w:sz w:val="24"/>
          <w:szCs w:val="24"/>
        </w:rPr>
        <w:t xml:space="preserve"> £93,498 </w:t>
      </w:r>
      <w:r w:rsidR="0097663D">
        <w:rPr>
          <w:rFonts w:cs="Times New Roman"/>
          <w:sz w:val="24"/>
          <w:szCs w:val="24"/>
        </w:rPr>
        <w:t>[AUD$</w:t>
      </w:r>
      <w:r w:rsidR="002D6547">
        <w:rPr>
          <w:rFonts w:cs="Times New Roman"/>
          <w:sz w:val="24"/>
          <w:szCs w:val="24"/>
        </w:rPr>
        <w:t>168,300</w:t>
      </w:r>
      <w:r w:rsidR="0097663D">
        <w:rPr>
          <w:rFonts w:cs="Times New Roman"/>
          <w:sz w:val="24"/>
          <w:szCs w:val="24"/>
        </w:rPr>
        <w:t xml:space="preserve">] </w:t>
      </w:r>
      <w:r w:rsidR="003E4776" w:rsidRPr="00126B2F">
        <w:rPr>
          <w:rFonts w:cs="Times New Roman"/>
          <w:sz w:val="24"/>
          <w:szCs w:val="24"/>
        </w:rPr>
        <w:t>whilst the most junior lecturer grades</w:t>
      </w:r>
      <w:r w:rsidR="0097663D">
        <w:rPr>
          <w:rFonts w:cs="Times New Roman"/>
          <w:sz w:val="24"/>
          <w:szCs w:val="24"/>
        </w:rPr>
        <w:t xml:space="preserve"> </w:t>
      </w:r>
      <w:r w:rsidR="003E4776" w:rsidRPr="00126B2F">
        <w:rPr>
          <w:rFonts w:cs="Times New Roman"/>
          <w:sz w:val="24"/>
          <w:szCs w:val="24"/>
        </w:rPr>
        <w:t>had a mean salary of £20,412</w:t>
      </w:r>
      <w:r w:rsidR="0097663D">
        <w:rPr>
          <w:rFonts w:cs="Times New Roman"/>
          <w:sz w:val="24"/>
          <w:szCs w:val="24"/>
        </w:rPr>
        <w:t xml:space="preserve"> [AUD $</w:t>
      </w:r>
      <w:r w:rsidR="00A0564D">
        <w:rPr>
          <w:rFonts w:cs="Times New Roman"/>
          <w:sz w:val="24"/>
          <w:szCs w:val="24"/>
        </w:rPr>
        <w:t>37,038]</w:t>
      </w:r>
      <w:r w:rsidR="000E6301" w:rsidRPr="00126B2F">
        <w:rPr>
          <w:rFonts w:cs="Times New Roman"/>
          <w:sz w:val="24"/>
          <w:szCs w:val="24"/>
        </w:rPr>
        <w:t xml:space="preserve">, </w:t>
      </w:r>
      <w:r w:rsidR="008D68AF" w:rsidRPr="00126B2F">
        <w:rPr>
          <w:rFonts w:cs="Times New Roman"/>
          <w:sz w:val="24"/>
          <w:szCs w:val="24"/>
        </w:rPr>
        <w:t xml:space="preserve">a ratio of 4.6 </w:t>
      </w:r>
      <w:r w:rsidR="003E4776" w:rsidRPr="00126B2F">
        <w:rPr>
          <w:rFonts w:cs="Times New Roman"/>
          <w:sz w:val="24"/>
          <w:szCs w:val="24"/>
        </w:rPr>
        <w:t>and senior lecturers £29</w:t>
      </w:r>
      <w:r w:rsidR="00A0564D">
        <w:rPr>
          <w:rFonts w:cs="Times New Roman"/>
          <w:sz w:val="24"/>
          <w:szCs w:val="24"/>
        </w:rPr>
        <w:t>,</w:t>
      </w:r>
      <w:r w:rsidR="003E4776" w:rsidRPr="00126B2F">
        <w:rPr>
          <w:rFonts w:cs="Times New Roman"/>
          <w:sz w:val="24"/>
          <w:szCs w:val="24"/>
        </w:rPr>
        <w:t>543</w:t>
      </w:r>
      <w:r w:rsidR="00A0564D">
        <w:rPr>
          <w:rFonts w:cs="Times New Roman"/>
          <w:sz w:val="24"/>
          <w:szCs w:val="24"/>
        </w:rPr>
        <w:t xml:space="preserve"> [AUD $53,607]</w:t>
      </w:r>
      <w:r w:rsidR="008D68AF" w:rsidRPr="00126B2F">
        <w:rPr>
          <w:rFonts w:cs="Times New Roman"/>
          <w:sz w:val="24"/>
          <w:szCs w:val="24"/>
        </w:rPr>
        <w:t xml:space="preserve">, </w:t>
      </w:r>
      <w:r w:rsidR="00FF2A7E" w:rsidRPr="00126B2F">
        <w:rPr>
          <w:rFonts w:cs="Times New Roman"/>
          <w:sz w:val="24"/>
          <w:szCs w:val="24"/>
        </w:rPr>
        <w:t xml:space="preserve">a </w:t>
      </w:r>
      <w:r w:rsidR="00655CA9" w:rsidRPr="00126B2F">
        <w:rPr>
          <w:rFonts w:cs="Times New Roman"/>
          <w:sz w:val="24"/>
          <w:szCs w:val="24"/>
        </w:rPr>
        <w:t>ratio 3.2</w:t>
      </w:r>
      <w:r w:rsidR="003E4776" w:rsidRPr="00126B2F">
        <w:rPr>
          <w:rFonts w:cs="Times New Roman"/>
          <w:sz w:val="24"/>
          <w:szCs w:val="24"/>
        </w:rPr>
        <w:t xml:space="preserve">. As </w:t>
      </w:r>
      <w:r w:rsidR="00655CA9" w:rsidRPr="00126B2F">
        <w:rPr>
          <w:rFonts w:cs="Times New Roman"/>
          <w:sz w:val="24"/>
          <w:szCs w:val="24"/>
        </w:rPr>
        <w:t xml:space="preserve">Table </w:t>
      </w:r>
      <w:r w:rsidR="00880A3A" w:rsidRPr="00126B2F">
        <w:rPr>
          <w:rFonts w:cs="Times New Roman"/>
          <w:sz w:val="24"/>
          <w:szCs w:val="24"/>
        </w:rPr>
        <w:t>2</w:t>
      </w:r>
      <w:r w:rsidR="00655CA9" w:rsidRPr="00126B2F">
        <w:rPr>
          <w:rFonts w:cs="Times New Roman"/>
          <w:sz w:val="24"/>
          <w:szCs w:val="24"/>
        </w:rPr>
        <w:t xml:space="preserve"> </w:t>
      </w:r>
      <w:r w:rsidR="00FF2A7E" w:rsidRPr="00126B2F">
        <w:rPr>
          <w:rFonts w:cs="Times New Roman"/>
          <w:sz w:val="24"/>
          <w:szCs w:val="24"/>
        </w:rPr>
        <w:t xml:space="preserve">starkly </w:t>
      </w:r>
      <w:r w:rsidR="003E4776" w:rsidRPr="00126B2F">
        <w:rPr>
          <w:rFonts w:cs="Times New Roman"/>
          <w:sz w:val="24"/>
          <w:szCs w:val="24"/>
        </w:rPr>
        <w:t>reveal</w:t>
      </w:r>
      <w:r w:rsidR="00742C7F" w:rsidRPr="00126B2F">
        <w:rPr>
          <w:rFonts w:cs="Times New Roman"/>
          <w:sz w:val="24"/>
          <w:szCs w:val="24"/>
        </w:rPr>
        <w:t>s</w:t>
      </w:r>
      <w:r w:rsidR="003E4776" w:rsidRPr="00126B2F">
        <w:rPr>
          <w:rFonts w:cs="Times New Roman"/>
          <w:sz w:val="24"/>
          <w:szCs w:val="24"/>
        </w:rPr>
        <w:t>, th</w:t>
      </w:r>
      <w:r w:rsidR="008D68AF" w:rsidRPr="00126B2F">
        <w:rPr>
          <w:rFonts w:cs="Times New Roman"/>
          <w:sz w:val="24"/>
          <w:szCs w:val="24"/>
        </w:rPr>
        <w:t>is</w:t>
      </w:r>
      <w:r w:rsidR="003E4776" w:rsidRPr="00126B2F">
        <w:rPr>
          <w:rFonts w:cs="Times New Roman"/>
          <w:sz w:val="24"/>
          <w:szCs w:val="24"/>
        </w:rPr>
        <w:t xml:space="preserve"> ratio has increased </w:t>
      </w:r>
      <w:r w:rsidR="00FF2A7E" w:rsidRPr="00126B2F">
        <w:rPr>
          <w:rFonts w:cs="Times New Roman"/>
          <w:sz w:val="24"/>
          <w:szCs w:val="24"/>
        </w:rPr>
        <w:t xml:space="preserve">very </w:t>
      </w:r>
      <w:r w:rsidR="00655CA9" w:rsidRPr="00126B2F">
        <w:rPr>
          <w:rFonts w:cs="Times New Roman"/>
          <w:sz w:val="24"/>
          <w:szCs w:val="24"/>
        </w:rPr>
        <w:t xml:space="preserve">considerably </w:t>
      </w:r>
      <w:r w:rsidR="003E4776" w:rsidRPr="00126B2F">
        <w:rPr>
          <w:rFonts w:cs="Times New Roman"/>
          <w:sz w:val="24"/>
          <w:szCs w:val="24"/>
        </w:rPr>
        <w:t>since then.</w:t>
      </w:r>
      <w:r w:rsidR="005345BC" w:rsidRPr="00126B2F">
        <w:rPr>
          <w:rFonts w:cs="Times New Roman"/>
          <w:sz w:val="24"/>
          <w:szCs w:val="24"/>
        </w:rPr>
        <w:t xml:space="preserve"> In 2020, the Office for Students published its first </w:t>
      </w:r>
      <w:r w:rsidR="00E960D7">
        <w:rPr>
          <w:rFonts w:cs="Times New Roman"/>
          <w:sz w:val="24"/>
          <w:szCs w:val="24"/>
        </w:rPr>
        <w:t>remuneration</w:t>
      </w:r>
      <w:r w:rsidR="00E960D7" w:rsidRPr="00126B2F">
        <w:rPr>
          <w:rFonts w:cs="Times New Roman"/>
          <w:sz w:val="24"/>
          <w:szCs w:val="24"/>
        </w:rPr>
        <w:t xml:space="preserve"> </w:t>
      </w:r>
      <w:r w:rsidR="005345BC" w:rsidRPr="00126B2F">
        <w:rPr>
          <w:rFonts w:cs="Times New Roman"/>
          <w:sz w:val="24"/>
          <w:szCs w:val="24"/>
        </w:rPr>
        <w:t>ratio data</w:t>
      </w:r>
      <w:r w:rsidR="00A03B33" w:rsidRPr="00126B2F">
        <w:rPr>
          <w:rFonts w:cs="Times New Roman"/>
          <w:sz w:val="24"/>
          <w:szCs w:val="24"/>
        </w:rPr>
        <w:t>,</w:t>
      </w:r>
      <w:r w:rsidR="005345BC" w:rsidRPr="00126B2F">
        <w:rPr>
          <w:rFonts w:cs="Times New Roman"/>
          <w:sz w:val="24"/>
          <w:szCs w:val="24"/>
        </w:rPr>
        <w:t xml:space="preserve"> for 2017-18. When very small </w:t>
      </w:r>
      <w:r w:rsidR="008D68AF" w:rsidRPr="00126B2F">
        <w:rPr>
          <w:rFonts w:cs="Times New Roman"/>
          <w:sz w:val="24"/>
          <w:szCs w:val="24"/>
        </w:rPr>
        <w:t>institutions</w:t>
      </w:r>
      <w:r w:rsidR="005345BC" w:rsidRPr="00126B2F">
        <w:rPr>
          <w:rFonts w:cs="Times New Roman"/>
          <w:sz w:val="24"/>
          <w:szCs w:val="24"/>
        </w:rPr>
        <w:t xml:space="preserve"> with an income of less than £30 million a year </w:t>
      </w:r>
      <w:r w:rsidR="00A0564D">
        <w:rPr>
          <w:rFonts w:cs="Times New Roman"/>
          <w:sz w:val="24"/>
          <w:szCs w:val="24"/>
        </w:rPr>
        <w:t xml:space="preserve">[AUD $54,442,074] </w:t>
      </w:r>
      <w:r w:rsidR="005345BC" w:rsidRPr="00126B2F">
        <w:rPr>
          <w:rFonts w:cs="Times New Roman"/>
          <w:sz w:val="24"/>
          <w:szCs w:val="24"/>
        </w:rPr>
        <w:t xml:space="preserve">are excluded, </w:t>
      </w:r>
      <w:r w:rsidR="00A03B33" w:rsidRPr="00126B2F">
        <w:rPr>
          <w:rFonts w:cs="Times New Roman"/>
          <w:sz w:val="24"/>
          <w:szCs w:val="24"/>
        </w:rPr>
        <w:t xml:space="preserve">the ratio of total mean VC remuneration to total other mean staff </w:t>
      </w:r>
      <w:r w:rsidR="00E960D7">
        <w:rPr>
          <w:rFonts w:cs="Times New Roman"/>
          <w:sz w:val="24"/>
          <w:szCs w:val="24"/>
        </w:rPr>
        <w:t>remuneration</w:t>
      </w:r>
      <w:r w:rsidR="00E960D7" w:rsidRPr="00126B2F">
        <w:rPr>
          <w:rFonts w:cs="Times New Roman"/>
          <w:sz w:val="24"/>
          <w:szCs w:val="24"/>
        </w:rPr>
        <w:t xml:space="preserve"> </w:t>
      </w:r>
      <w:r w:rsidR="00A03B33" w:rsidRPr="00126B2F">
        <w:rPr>
          <w:rFonts w:cs="Times New Roman"/>
          <w:sz w:val="24"/>
          <w:szCs w:val="24"/>
        </w:rPr>
        <w:t>in English universities was 8.2</w:t>
      </w:r>
      <w:r w:rsidR="00232CF7">
        <w:rPr>
          <w:rFonts w:cs="Times New Roman"/>
          <w:sz w:val="24"/>
          <w:szCs w:val="24"/>
        </w:rPr>
        <w:t xml:space="preserve"> (data for Scotland and Wales is not available for this year)</w:t>
      </w:r>
      <w:r w:rsidR="006F3A51">
        <w:rPr>
          <w:rFonts w:cs="Times New Roman"/>
          <w:sz w:val="24"/>
          <w:szCs w:val="24"/>
        </w:rPr>
        <w:t xml:space="preserve"> (</w:t>
      </w:r>
      <w:proofErr w:type="spellStart"/>
      <w:r w:rsidR="006F3A51">
        <w:rPr>
          <w:rFonts w:cs="Times New Roman"/>
          <w:sz w:val="24"/>
          <w:szCs w:val="24"/>
        </w:rPr>
        <w:t>OfS</w:t>
      </w:r>
      <w:proofErr w:type="spellEnd"/>
      <w:r w:rsidR="006F3A51">
        <w:rPr>
          <w:rFonts w:cs="Times New Roman"/>
          <w:sz w:val="24"/>
          <w:szCs w:val="24"/>
        </w:rPr>
        <w:t>, 2020)</w:t>
      </w:r>
      <w:r w:rsidR="00A03B33" w:rsidRPr="00126B2F">
        <w:rPr>
          <w:rFonts w:cs="Times New Roman"/>
          <w:sz w:val="24"/>
          <w:szCs w:val="24"/>
        </w:rPr>
        <w:t xml:space="preserve">.  </w:t>
      </w:r>
      <w:r w:rsidR="000E6301" w:rsidRPr="00126B2F">
        <w:rPr>
          <w:rFonts w:cs="Times New Roman"/>
          <w:sz w:val="24"/>
          <w:szCs w:val="24"/>
        </w:rPr>
        <w:t xml:space="preserve">Table 3 lists the </w:t>
      </w:r>
      <w:r w:rsidR="009D590A" w:rsidRPr="00126B2F">
        <w:rPr>
          <w:rFonts w:cs="Times New Roman"/>
          <w:sz w:val="24"/>
          <w:szCs w:val="24"/>
        </w:rPr>
        <w:t xml:space="preserve">universities in England in 2017-18 with the highest </w:t>
      </w:r>
      <w:r w:rsidR="00E960D7">
        <w:rPr>
          <w:rFonts w:cs="Times New Roman"/>
          <w:sz w:val="24"/>
          <w:szCs w:val="24"/>
        </w:rPr>
        <w:t>remuneration</w:t>
      </w:r>
      <w:r w:rsidR="00E960D7" w:rsidRPr="00126B2F">
        <w:rPr>
          <w:rFonts w:cs="Times New Roman"/>
          <w:sz w:val="24"/>
          <w:szCs w:val="24"/>
        </w:rPr>
        <w:t xml:space="preserve"> </w:t>
      </w:r>
      <w:r w:rsidR="009D590A" w:rsidRPr="00126B2F">
        <w:rPr>
          <w:rFonts w:cs="Times New Roman"/>
          <w:sz w:val="24"/>
          <w:szCs w:val="24"/>
        </w:rPr>
        <w:t xml:space="preserve">ratios. </w:t>
      </w:r>
    </w:p>
    <w:p w14:paraId="0A15557D" w14:textId="77777777" w:rsidR="00986125" w:rsidRPr="00126B2F" w:rsidRDefault="00986125" w:rsidP="00986125">
      <w:pPr>
        <w:spacing w:after="0" w:line="360" w:lineRule="auto"/>
        <w:rPr>
          <w:rFonts w:cs="Times New Roman"/>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986125" w:rsidRPr="00126B2F" w14:paraId="343AF6FA" w14:textId="77777777" w:rsidTr="00232CF7">
        <w:tc>
          <w:tcPr>
            <w:tcW w:w="9016" w:type="dxa"/>
            <w:gridSpan w:val="4"/>
            <w:shd w:val="clear" w:color="auto" w:fill="BFBFBF" w:themeFill="background1" w:themeFillShade="BF"/>
          </w:tcPr>
          <w:p w14:paraId="6F7D47DE" w14:textId="79B3D402" w:rsidR="00986125" w:rsidRPr="00580F59" w:rsidRDefault="00986125" w:rsidP="00232CF7">
            <w:pPr>
              <w:shd w:val="clear" w:color="auto" w:fill="BFBFBF" w:themeFill="background1" w:themeFillShade="BF"/>
              <w:spacing w:before="100" w:after="100"/>
              <w:rPr>
                <w:rFonts w:cs="Times New Roman"/>
                <w:b/>
                <w:bCs/>
                <w:color w:val="000000"/>
                <w:sz w:val="20"/>
                <w:szCs w:val="20"/>
              </w:rPr>
            </w:pPr>
            <w:r w:rsidRPr="00580F59">
              <w:rPr>
                <w:rFonts w:cs="Times New Roman"/>
                <w:b/>
                <w:bCs/>
                <w:color w:val="000000"/>
                <w:sz w:val="20"/>
                <w:szCs w:val="20"/>
              </w:rPr>
              <w:t xml:space="preserve">Table 2: Average UK VCs’ and academics’ </w:t>
            </w:r>
            <w:r w:rsidR="00E960D7">
              <w:rPr>
                <w:rFonts w:cs="Times New Roman"/>
                <w:b/>
                <w:bCs/>
                <w:color w:val="000000"/>
                <w:sz w:val="20"/>
                <w:szCs w:val="20"/>
              </w:rPr>
              <w:t>remuneration</w:t>
            </w:r>
            <w:r w:rsidRPr="00580F59">
              <w:rPr>
                <w:rFonts w:cs="Times New Roman"/>
                <w:b/>
                <w:bCs/>
                <w:color w:val="000000"/>
                <w:sz w:val="20"/>
                <w:szCs w:val="20"/>
              </w:rPr>
              <w:t>, adjusted to 2017 prices</w:t>
            </w:r>
          </w:p>
        </w:tc>
      </w:tr>
      <w:tr w:rsidR="00986125" w:rsidRPr="00126B2F" w14:paraId="59DBCC41" w14:textId="77777777" w:rsidTr="00232CF7">
        <w:tc>
          <w:tcPr>
            <w:tcW w:w="2254" w:type="dxa"/>
            <w:shd w:val="clear" w:color="auto" w:fill="D9D9D9" w:themeFill="background1" w:themeFillShade="D9"/>
          </w:tcPr>
          <w:p w14:paraId="55219AE1" w14:textId="77777777" w:rsidR="00986125" w:rsidRPr="00580F59" w:rsidRDefault="00986125" w:rsidP="00232CF7">
            <w:pPr>
              <w:autoSpaceDE w:val="0"/>
              <w:autoSpaceDN w:val="0"/>
              <w:adjustRightInd w:val="0"/>
              <w:spacing w:before="60" w:after="60"/>
              <w:rPr>
                <w:rFonts w:cs="Times New Roman"/>
                <w:b/>
                <w:bCs/>
                <w:color w:val="000000"/>
                <w:sz w:val="20"/>
                <w:szCs w:val="20"/>
              </w:rPr>
            </w:pPr>
            <w:r w:rsidRPr="00580F59">
              <w:rPr>
                <w:rFonts w:cs="Times New Roman"/>
                <w:b/>
                <w:bCs/>
                <w:color w:val="000000"/>
                <w:sz w:val="20"/>
                <w:szCs w:val="20"/>
              </w:rPr>
              <w:t>Year end</w:t>
            </w:r>
          </w:p>
        </w:tc>
        <w:tc>
          <w:tcPr>
            <w:tcW w:w="2254" w:type="dxa"/>
            <w:shd w:val="clear" w:color="auto" w:fill="D9D9D9" w:themeFill="background1" w:themeFillShade="D9"/>
          </w:tcPr>
          <w:p w14:paraId="053F7D36" w14:textId="02D94F0F" w:rsidR="00986125" w:rsidRPr="00580F59" w:rsidRDefault="00986125" w:rsidP="00232CF7">
            <w:pPr>
              <w:autoSpaceDE w:val="0"/>
              <w:autoSpaceDN w:val="0"/>
              <w:adjustRightInd w:val="0"/>
              <w:spacing w:before="60" w:after="60"/>
              <w:rPr>
                <w:rFonts w:cs="Times New Roman"/>
                <w:b/>
                <w:bCs/>
                <w:color w:val="000000"/>
                <w:sz w:val="20"/>
                <w:szCs w:val="20"/>
              </w:rPr>
            </w:pPr>
            <w:r w:rsidRPr="00580F59">
              <w:rPr>
                <w:rFonts w:cs="Times New Roman"/>
                <w:b/>
                <w:bCs/>
                <w:color w:val="000000"/>
                <w:sz w:val="20"/>
                <w:szCs w:val="20"/>
              </w:rPr>
              <w:t xml:space="preserve">VC </w:t>
            </w:r>
            <w:r w:rsidR="00E960D7">
              <w:rPr>
                <w:rFonts w:cs="Times New Roman"/>
                <w:b/>
                <w:bCs/>
                <w:color w:val="000000"/>
                <w:sz w:val="20"/>
                <w:szCs w:val="20"/>
              </w:rPr>
              <w:t>remuneration</w:t>
            </w:r>
          </w:p>
        </w:tc>
        <w:tc>
          <w:tcPr>
            <w:tcW w:w="2254" w:type="dxa"/>
            <w:shd w:val="clear" w:color="auto" w:fill="D9D9D9" w:themeFill="background1" w:themeFillShade="D9"/>
          </w:tcPr>
          <w:p w14:paraId="6FB3416D" w14:textId="65BAAF84" w:rsidR="00986125" w:rsidRPr="00580F59" w:rsidRDefault="00986125" w:rsidP="00232CF7">
            <w:pPr>
              <w:autoSpaceDE w:val="0"/>
              <w:autoSpaceDN w:val="0"/>
              <w:adjustRightInd w:val="0"/>
              <w:spacing w:before="60" w:after="60"/>
              <w:rPr>
                <w:rFonts w:cs="Times New Roman"/>
                <w:b/>
                <w:bCs/>
                <w:color w:val="000000"/>
                <w:sz w:val="20"/>
                <w:szCs w:val="20"/>
              </w:rPr>
            </w:pPr>
            <w:r w:rsidRPr="00580F59">
              <w:rPr>
                <w:rFonts w:cs="Times New Roman"/>
                <w:b/>
                <w:bCs/>
                <w:color w:val="000000"/>
                <w:sz w:val="20"/>
                <w:szCs w:val="20"/>
              </w:rPr>
              <w:t xml:space="preserve">Academic </w:t>
            </w:r>
            <w:r w:rsidR="00E960D7">
              <w:rPr>
                <w:rFonts w:cs="Times New Roman"/>
                <w:b/>
                <w:bCs/>
                <w:color w:val="000000"/>
                <w:sz w:val="20"/>
                <w:szCs w:val="20"/>
              </w:rPr>
              <w:t>remuneration</w:t>
            </w:r>
          </w:p>
        </w:tc>
        <w:tc>
          <w:tcPr>
            <w:tcW w:w="2254" w:type="dxa"/>
            <w:shd w:val="clear" w:color="auto" w:fill="D9D9D9" w:themeFill="background1" w:themeFillShade="D9"/>
          </w:tcPr>
          <w:p w14:paraId="4AE1F75F" w14:textId="77777777" w:rsidR="00986125" w:rsidRPr="00580F59" w:rsidRDefault="00986125" w:rsidP="00232CF7">
            <w:pPr>
              <w:autoSpaceDE w:val="0"/>
              <w:autoSpaceDN w:val="0"/>
              <w:adjustRightInd w:val="0"/>
              <w:spacing w:before="60" w:after="60"/>
              <w:rPr>
                <w:rFonts w:cs="Times New Roman"/>
                <w:b/>
                <w:bCs/>
                <w:color w:val="000000"/>
                <w:sz w:val="20"/>
                <w:szCs w:val="20"/>
              </w:rPr>
            </w:pPr>
            <w:r w:rsidRPr="00580F59">
              <w:rPr>
                <w:rFonts w:cs="Times New Roman"/>
                <w:b/>
                <w:bCs/>
                <w:color w:val="000000"/>
                <w:sz w:val="20"/>
                <w:szCs w:val="20"/>
              </w:rPr>
              <w:t>Ratio</w:t>
            </w:r>
          </w:p>
        </w:tc>
      </w:tr>
      <w:tr w:rsidR="00986125" w:rsidRPr="00126B2F" w14:paraId="659D17AF" w14:textId="77777777" w:rsidTr="00232CF7">
        <w:tc>
          <w:tcPr>
            <w:tcW w:w="2254" w:type="dxa"/>
          </w:tcPr>
          <w:p w14:paraId="6037C429"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2007</w:t>
            </w:r>
          </w:p>
        </w:tc>
        <w:tc>
          <w:tcPr>
            <w:tcW w:w="2254" w:type="dxa"/>
          </w:tcPr>
          <w:p w14:paraId="566D3DF9"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235,311</w:t>
            </w:r>
          </w:p>
        </w:tc>
        <w:tc>
          <w:tcPr>
            <w:tcW w:w="2254" w:type="dxa"/>
          </w:tcPr>
          <w:p w14:paraId="37EF5492"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47,829</w:t>
            </w:r>
          </w:p>
        </w:tc>
        <w:tc>
          <w:tcPr>
            <w:tcW w:w="2254" w:type="dxa"/>
          </w:tcPr>
          <w:p w14:paraId="738C3A14"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4.9:1</w:t>
            </w:r>
          </w:p>
        </w:tc>
      </w:tr>
      <w:tr w:rsidR="00986125" w:rsidRPr="00126B2F" w14:paraId="2692A113" w14:textId="77777777" w:rsidTr="00232CF7">
        <w:tc>
          <w:tcPr>
            <w:tcW w:w="2254" w:type="dxa"/>
          </w:tcPr>
          <w:p w14:paraId="56A28FAE"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2008</w:t>
            </w:r>
          </w:p>
        </w:tc>
        <w:tc>
          <w:tcPr>
            <w:tcW w:w="2254" w:type="dxa"/>
          </w:tcPr>
          <w:p w14:paraId="356EF0C3"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256,912</w:t>
            </w:r>
          </w:p>
        </w:tc>
        <w:tc>
          <w:tcPr>
            <w:tcW w:w="2254" w:type="dxa"/>
          </w:tcPr>
          <w:p w14:paraId="7C17278D"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48,287</w:t>
            </w:r>
          </w:p>
        </w:tc>
        <w:tc>
          <w:tcPr>
            <w:tcW w:w="2254" w:type="dxa"/>
          </w:tcPr>
          <w:p w14:paraId="1F554DB3"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5.3:1</w:t>
            </w:r>
          </w:p>
        </w:tc>
      </w:tr>
      <w:tr w:rsidR="00986125" w:rsidRPr="00126B2F" w14:paraId="4641D197" w14:textId="77777777" w:rsidTr="00232CF7">
        <w:tc>
          <w:tcPr>
            <w:tcW w:w="2254" w:type="dxa"/>
          </w:tcPr>
          <w:p w14:paraId="623A0F98"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2009</w:t>
            </w:r>
          </w:p>
        </w:tc>
        <w:tc>
          <w:tcPr>
            <w:tcW w:w="2254" w:type="dxa"/>
          </w:tcPr>
          <w:p w14:paraId="6875352D"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277915</w:t>
            </w:r>
          </w:p>
        </w:tc>
        <w:tc>
          <w:tcPr>
            <w:tcW w:w="2254" w:type="dxa"/>
          </w:tcPr>
          <w:p w14:paraId="7385DBF5"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51,430</w:t>
            </w:r>
          </w:p>
        </w:tc>
        <w:tc>
          <w:tcPr>
            <w:tcW w:w="2254" w:type="dxa"/>
          </w:tcPr>
          <w:p w14:paraId="71543352"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5.4:1</w:t>
            </w:r>
          </w:p>
        </w:tc>
      </w:tr>
      <w:tr w:rsidR="00986125" w:rsidRPr="00126B2F" w14:paraId="123EC6A6" w14:textId="77777777" w:rsidTr="00232CF7">
        <w:tc>
          <w:tcPr>
            <w:tcW w:w="2254" w:type="dxa"/>
          </w:tcPr>
          <w:p w14:paraId="661270FC"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2010</w:t>
            </w:r>
          </w:p>
        </w:tc>
        <w:tc>
          <w:tcPr>
            <w:tcW w:w="2254" w:type="dxa"/>
          </w:tcPr>
          <w:p w14:paraId="6C85594C"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275,196</w:t>
            </w:r>
          </w:p>
        </w:tc>
        <w:tc>
          <w:tcPr>
            <w:tcW w:w="2254" w:type="dxa"/>
          </w:tcPr>
          <w:p w14:paraId="52BFAC13"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51,462</w:t>
            </w:r>
          </w:p>
        </w:tc>
        <w:tc>
          <w:tcPr>
            <w:tcW w:w="2254" w:type="dxa"/>
          </w:tcPr>
          <w:p w14:paraId="1E392B4C"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5.4:1</w:t>
            </w:r>
          </w:p>
        </w:tc>
      </w:tr>
      <w:tr w:rsidR="00986125" w:rsidRPr="00126B2F" w14:paraId="28615191" w14:textId="77777777" w:rsidTr="00232CF7">
        <w:tc>
          <w:tcPr>
            <w:tcW w:w="2254" w:type="dxa"/>
          </w:tcPr>
          <w:p w14:paraId="0D577F16"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2011</w:t>
            </w:r>
          </w:p>
        </w:tc>
        <w:tc>
          <w:tcPr>
            <w:tcW w:w="2254" w:type="dxa"/>
          </w:tcPr>
          <w:p w14:paraId="70B32BFB"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267,702</w:t>
            </w:r>
          </w:p>
        </w:tc>
        <w:tc>
          <w:tcPr>
            <w:tcW w:w="2254" w:type="dxa"/>
          </w:tcPr>
          <w:p w14:paraId="24AB36D8"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50,526</w:t>
            </w:r>
          </w:p>
        </w:tc>
        <w:tc>
          <w:tcPr>
            <w:tcW w:w="2254" w:type="dxa"/>
          </w:tcPr>
          <w:p w14:paraId="5763BD48"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5.3:1</w:t>
            </w:r>
          </w:p>
        </w:tc>
      </w:tr>
      <w:tr w:rsidR="00986125" w:rsidRPr="00126B2F" w14:paraId="08AB7260" w14:textId="77777777" w:rsidTr="00232CF7">
        <w:tc>
          <w:tcPr>
            <w:tcW w:w="2254" w:type="dxa"/>
          </w:tcPr>
          <w:p w14:paraId="3882FC6C"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2012</w:t>
            </w:r>
          </w:p>
        </w:tc>
        <w:tc>
          <w:tcPr>
            <w:tcW w:w="2254" w:type="dxa"/>
          </w:tcPr>
          <w:p w14:paraId="141A7F6C"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265,267</w:t>
            </w:r>
          </w:p>
        </w:tc>
        <w:tc>
          <w:tcPr>
            <w:tcW w:w="2254" w:type="dxa"/>
          </w:tcPr>
          <w:p w14:paraId="579710F3"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49,553</w:t>
            </w:r>
          </w:p>
        </w:tc>
        <w:tc>
          <w:tcPr>
            <w:tcW w:w="2254" w:type="dxa"/>
          </w:tcPr>
          <w:p w14:paraId="59721564"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5.4:1</w:t>
            </w:r>
          </w:p>
        </w:tc>
      </w:tr>
      <w:tr w:rsidR="00986125" w:rsidRPr="00126B2F" w14:paraId="204621CE" w14:textId="77777777" w:rsidTr="00232CF7">
        <w:tc>
          <w:tcPr>
            <w:tcW w:w="2254" w:type="dxa"/>
          </w:tcPr>
          <w:p w14:paraId="344F8692"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2013</w:t>
            </w:r>
          </w:p>
        </w:tc>
        <w:tc>
          <w:tcPr>
            <w:tcW w:w="2254" w:type="dxa"/>
          </w:tcPr>
          <w:p w14:paraId="69EA63A2"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266,778</w:t>
            </w:r>
          </w:p>
        </w:tc>
        <w:tc>
          <w:tcPr>
            <w:tcW w:w="2254" w:type="dxa"/>
          </w:tcPr>
          <w:p w14:paraId="5FFD1A76"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49,083</w:t>
            </w:r>
          </w:p>
        </w:tc>
        <w:tc>
          <w:tcPr>
            <w:tcW w:w="2254" w:type="dxa"/>
          </w:tcPr>
          <w:p w14:paraId="0BED0E31"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5.4:1</w:t>
            </w:r>
          </w:p>
        </w:tc>
      </w:tr>
      <w:tr w:rsidR="00986125" w:rsidRPr="00126B2F" w14:paraId="5EC6BC14" w14:textId="77777777" w:rsidTr="00232CF7">
        <w:tc>
          <w:tcPr>
            <w:tcW w:w="2254" w:type="dxa"/>
          </w:tcPr>
          <w:p w14:paraId="3D8B918F"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2014</w:t>
            </w:r>
          </w:p>
        </w:tc>
        <w:tc>
          <w:tcPr>
            <w:tcW w:w="2254" w:type="dxa"/>
          </w:tcPr>
          <w:p w14:paraId="2E5BFDDB"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271,357</w:t>
            </w:r>
          </w:p>
        </w:tc>
        <w:tc>
          <w:tcPr>
            <w:tcW w:w="2254" w:type="dxa"/>
          </w:tcPr>
          <w:p w14:paraId="1A268B69"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48,866</w:t>
            </w:r>
          </w:p>
        </w:tc>
        <w:tc>
          <w:tcPr>
            <w:tcW w:w="2254" w:type="dxa"/>
          </w:tcPr>
          <w:p w14:paraId="53BEEE3F"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5.6:1</w:t>
            </w:r>
          </w:p>
        </w:tc>
      </w:tr>
      <w:tr w:rsidR="00986125" w:rsidRPr="00126B2F" w14:paraId="408CC500" w14:textId="77777777" w:rsidTr="00232CF7">
        <w:tc>
          <w:tcPr>
            <w:tcW w:w="2254" w:type="dxa"/>
          </w:tcPr>
          <w:p w14:paraId="092A3944"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2015</w:t>
            </w:r>
          </w:p>
        </w:tc>
        <w:tc>
          <w:tcPr>
            <w:tcW w:w="2254" w:type="dxa"/>
          </w:tcPr>
          <w:p w14:paraId="33E38BB1"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283,888</w:t>
            </w:r>
          </w:p>
        </w:tc>
        <w:tc>
          <w:tcPr>
            <w:tcW w:w="2254" w:type="dxa"/>
          </w:tcPr>
          <w:p w14:paraId="3B72E2A9"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49,496</w:t>
            </w:r>
          </w:p>
        </w:tc>
        <w:tc>
          <w:tcPr>
            <w:tcW w:w="2254" w:type="dxa"/>
          </w:tcPr>
          <w:p w14:paraId="416E53AC" w14:textId="77777777" w:rsidR="00986125" w:rsidRPr="00580F59" w:rsidRDefault="00986125" w:rsidP="00232CF7">
            <w:pPr>
              <w:autoSpaceDE w:val="0"/>
              <w:autoSpaceDN w:val="0"/>
              <w:adjustRightInd w:val="0"/>
              <w:spacing w:before="60" w:after="60"/>
              <w:rPr>
                <w:rFonts w:cs="Times New Roman"/>
                <w:color w:val="000000"/>
                <w:sz w:val="20"/>
                <w:szCs w:val="20"/>
              </w:rPr>
            </w:pPr>
            <w:r w:rsidRPr="00580F59">
              <w:rPr>
                <w:rFonts w:cs="Times New Roman"/>
                <w:color w:val="000000"/>
                <w:sz w:val="20"/>
                <w:szCs w:val="20"/>
              </w:rPr>
              <w:t>5.7:1</w:t>
            </w:r>
          </w:p>
        </w:tc>
      </w:tr>
    </w:tbl>
    <w:p w14:paraId="736E70D5" w14:textId="77777777" w:rsidR="00986125" w:rsidRPr="00126B2F" w:rsidRDefault="00986125" w:rsidP="00986125">
      <w:pPr>
        <w:autoSpaceDE w:val="0"/>
        <w:autoSpaceDN w:val="0"/>
        <w:adjustRightInd w:val="0"/>
        <w:spacing w:after="0" w:line="360" w:lineRule="auto"/>
        <w:rPr>
          <w:rFonts w:cs="Times New Roman"/>
          <w:color w:val="000000"/>
          <w:sz w:val="24"/>
          <w:szCs w:val="24"/>
        </w:rPr>
      </w:pPr>
    </w:p>
    <w:p w14:paraId="6EEB816E" w14:textId="77777777" w:rsidR="00986125" w:rsidRDefault="00986125" w:rsidP="00986125">
      <w:pPr>
        <w:autoSpaceDE w:val="0"/>
        <w:autoSpaceDN w:val="0"/>
        <w:adjustRightInd w:val="0"/>
        <w:spacing w:after="0" w:line="360" w:lineRule="auto"/>
        <w:ind w:firstLine="720"/>
        <w:rPr>
          <w:rFonts w:cs="Times New Roman"/>
          <w:color w:val="000000"/>
          <w:sz w:val="24"/>
          <w:szCs w:val="24"/>
        </w:rPr>
      </w:pPr>
      <w:r w:rsidRPr="00126B2F">
        <w:rPr>
          <w:rFonts w:cs="Times New Roman"/>
          <w:color w:val="000000"/>
          <w:sz w:val="24"/>
          <w:szCs w:val="24"/>
        </w:rPr>
        <w:t xml:space="preserve">Adapted from </w:t>
      </w:r>
      <w:proofErr w:type="spellStart"/>
      <w:r w:rsidRPr="00126B2F">
        <w:rPr>
          <w:rFonts w:cs="Times New Roman"/>
          <w:color w:val="000000"/>
          <w:sz w:val="24"/>
          <w:szCs w:val="24"/>
        </w:rPr>
        <w:t>Gschwandtner</w:t>
      </w:r>
      <w:proofErr w:type="spellEnd"/>
      <w:r w:rsidRPr="00126B2F">
        <w:rPr>
          <w:rFonts w:cs="Times New Roman"/>
          <w:color w:val="000000"/>
          <w:sz w:val="24"/>
          <w:szCs w:val="24"/>
        </w:rPr>
        <w:t xml:space="preserve"> and McManus (2018</w:t>
      </w:r>
      <w:r>
        <w:rPr>
          <w:rFonts w:cs="Times New Roman"/>
          <w:color w:val="000000"/>
          <w:sz w:val="24"/>
          <w:szCs w:val="24"/>
        </w:rPr>
        <w:t>, Table 1, p. 7)</w:t>
      </w:r>
    </w:p>
    <w:p w14:paraId="5BD14215" w14:textId="77777777" w:rsidR="00986125" w:rsidRDefault="00986125" w:rsidP="00986125">
      <w:pPr>
        <w:autoSpaceDE w:val="0"/>
        <w:autoSpaceDN w:val="0"/>
        <w:adjustRightInd w:val="0"/>
        <w:spacing w:after="0" w:line="360" w:lineRule="auto"/>
        <w:ind w:firstLine="720"/>
        <w:rPr>
          <w:rFonts w:cs="Times New Roman"/>
          <w:color w:val="000000"/>
          <w:sz w:val="24"/>
          <w:szCs w:val="24"/>
        </w:rPr>
      </w:pPr>
    </w:p>
    <w:tbl>
      <w:tblPr>
        <w:tblStyle w:val="TableGrid"/>
        <w:tblW w:w="7867" w:type="dxa"/>
        <w:tblLook w:val="04A0" w:firstRow="1" w:lastRow="0" w:firstColumn="1" w:lastColumn="0" w:noHBand="0" w:noVBand="1"/>
      </w:tblPr>
      <w:tblGrid>
        <w:gridCol w:w="3119"/>
        <w:gridCol w:w="2701"/>
        <w:gridCol w:w="2047"/>
      </w:tblGrid>
      <w:tr w:rsidR="00986125" w:rsidRPr="00580F59" w14:paraId="27A90A66" w14:textId="77777777" w:rsidTr="00232CF7">
        <w:trPr>
          <w:trHeight w:val="600"/>
        </w:trPr>
        <w:tc>
          <w:tcPr>
            <w:tcW w:w="7867" w:type="dxa"/>
            <w:gridSpan w:val="3"/>
            <w:shd w:val="clear" w:color="auto" w:fill="BFBFBF" w:themeFill="background1" w:themeFillShade="BF"/>
            <w:noWrap/>
          </w:tcPr>
          <w:p w14:paraId="05E119D7" w14:textId="11E8D5F8" w:rsidR="00986125" w:rsidRPr="00580F59" w:rsidRDefault="00986125" w:rsidP="00232CF7">
            <w:pPr>
              <w:rPr>
                <w:rFonts w:eastAsia="Times New Roman" w:cstheme="minorHAnsi"/>
                <w:b/>
                <w:bCs/>
                <w:color w:val="000000"/>
                <w:sz w:val="20"/>
                <w:szCs w:val="20"/>
                <w:lang w:eastAsia="en-GB"/>
              </w:rPr>
            </w:pPr>
            <w:r w:rsidRPr="00580F59">
              <w:rPr>
                <w:rFonts w:cstheme="minorHAnsi"/>
                <w:b/>
                <w:bCs/>
                <w:sz w:val="20"/>
                <w:szCs w:val="20"/>
              </w:rPr>
              <w:t xml:space="preserve">Table 3: Ratio of VC </w:t>
            </w:r>
            <w:r w:rsidR="00E960D7">
              <w:rPr>
                <w:rFonts w:cstheme="minorHAnsi"/>
                <w:b/>
                <w:bCs/>
                <w:sz w:val="20"/>
                <w:szCs w:val="20"/>
              </w:rPr>
              <w:t>remuneration</w:t>
            </w:r>
            <w:r w:rsidRPr="00580F59">
              <w:rPr>
                <w:rFonts w:cstheme="minorHAnsi"/>
                <w:b/>
                <w:bCs/>
                <w:sz w:val="20"/>
                <w:szCs w:val="20"/>
              </w:rPr>
              <w:t xml:space="preserve">: mean base salaries, </w:t>
            </w:r>
            <w:r w:rsidR="00232CF7">
              <w:rPr>
                <w:rFonts w:cstheme="minorHAnsi"/>
                <w:b/>
                <w:bCs/>
                <w:sz w:val="20"/>
                <w:szCs w:val="20"/>
              </w:rPr>
              <w:t>English</w:t>
            </w:r>
            <w:r w:rsidR="00232CF7" w:rsidRPr="00580F59">
              <w:rPr>
                <w:rFonts w:cstheme="minorHAnsi"/>
                <w:b/>
                <w:bCs/>
                <w:sz w:val="20"/>
                <w:szCs w:val="20"/>
              </w:rPr>
              <w:t xml:space="preserve"> </w:t>
            </w:r>
            <w:r w:rsidRPr="00580F59">
              <w:rPr>
                <w:rFonts w:cstheme="minorHAnsi"/>
                <w:b/>
                <w:bCs/>
                <w:sz w:val="20"/>
                <w:szCs w:val="20"/>
              </w:rPr>
              <w:t>universities 2017–18, top 20</w:t>
            </w:r>
          </w:p>
        </w:tc>
      </w:tr>
      <w:tr w:rsidR="00986125" w:rsidRPr="00580F59" w14:paraId="39F7F0AE" w14:textId="77777777" w:rsidTr="00232CF7">
        <w:trPr>
          <w:trHeight w:val="600"/>
        </w:trPr>
        <w:tc>
          <w:tcPr>
            <w:tcW w:w="3119" w:type="dxa"/>
            <w:shd w:val="clear" w:color="auto" w:fill="D9D9D9" w:themeFill="background1" w:themeFillShade="D9"/>
            <w:noWrap/>
            <w:hideMark/>
          </w:tcPr>
          <w:p w14:paraId="1B00B4DD" w14:textId="77777777" w:rsidR="00986125" w:rsidRPr="00580F59" w:rsidRDefault="00986125" w:rsidP="00232CF7">
            <w:pPr>
              <w:rPr>
                <w:rFonts w:eastAsia="Times New Roman" w:cstheme="minorHAnsi"/>
                <w:b/>
                <w:bCs/>
                <w:color w:val="000000"/>
                <w:sz w:val="20"/>
                <w:szCs w:val="20"/>
                <w:lang w:eastAsia="en-GB"/>
              </w:rPr>
            </w:pPr>
            <w:r w:rsidRPr="00580F59">
              <w:rPr>
                <w:rFonts w:eastAsia="Times New Roman" w:cstheme="minorHAnsi"/>
                <w:b/>
                <w:bCs/>
                <w:color w:val="000000"/>
                <w:sz w:val="20"/>
                <w:szCs w:val="20"/>
                <w:lang w:eastAsia="en-GB"/>
              </w:rPr>
              <w:lastRenderedPageBreak/>
              <w:t>Institution</w:t>
            </w:r>
          </w:p>
        </w:tc>
        <w:tc>
          <w:tcPr>
            <w:tcW w:w="2701" w:type="dxa"/>
            <w:shd w:val="clear" w:color="auto" w:fill="D9D9D9" w:themeFill="background1" w:themeFillShade="D9"/>
            <w:hideMark/>
          </w:tcPr>
          <w:p w14:paraId="0527328B" w14:textId="2C65337B" w:rsidR="00986125" w:rsidRPr="00580F59" w:rsidRDefault="00986125" w:rsidP="00232CF7">
            <w:pPr>
              <w:rPr>
                <w:rFonts w:eastAsia="Times New Roman" w:cstheme="minorHAnsi"/>
                <w:b/>
                <w:bCs/>
                <w:color w:val="000000"/>
                <w:sz w:val="20"/>
                <w:szCs w:val="20"/>
                <w:lang w:eastAsia="en-GB"/>
              </w:rPr>
            </w:pPr>
            <w:r w:rsidRPr="00580F59">
              <w:rPr>
                <w:rFonts w:eastAsia="Times New Roman" w:cstheme="minorHAnsi"/>
                <w:b/>
                <w:bCs/>
                <w:color w:val="000000"/>
                <w:sz w:val="20"/>
                <w:szCs w:val="20"/>
                <w:lang w:eastAsia="en-GB"/>
              </w:rPr>
              <w:t xml:space="preserve">VC total </w:t>
            </w:r>
            <w:r w:rsidR="00E960D7">
              <w:rPr>
                <w:rFonts w:eastAsia="Times New Roman" w:cstheme="minorHAnsi"/>
                <w:b/>
                <w:bCs/>
                <w:color w:val="000000"/>
                <w:sz w:val="20"/>
                <w:szCs w:val="20"/>
                <w:lang w:eastAsia="en-GB"/>
              </w:rPr>
              <w:t>remuneration</w:t>
            </w:r>
            <w:r w:rsidR="00E960D7" w:rsidRPr="00580F59">
              <w:rPr>
                <w:rFonts w:eastAsia="Times New Roman" w:cstheme="minorHAnsi"/>
                <w:b/>
                <w:bCs/>
                <w:color w:val="000000"/>
                <w:sz w:val="20"/>
                <w:szCs w:val="20"/>
                <w:lang w:eastAsia="en-GB"/>
              </w:rPr>
              <w:t xml:space="preserve"> </w:t>
            </w:r>
            <w:r w:rsidRPr="00580F59">
              <w:rPr>
                <w:rFonts w:eastAsia="Times New Roman" w:cstheme="minorHAnsi"/>
                <w:b/>
                <w:bCs/>
                <w:color w:val="000000"/>
                <w:sz w:val="20"/>
                <w:szCs w:val="20"/>
                <w:lang w:eastAsia="en-GB"/>
              </w:rPr>
              <w:t>divided by mean total staff pay</w:t>
            </w:r>
          </w:p>
        </w:tc>
        <w:tc>
          <w:tcPr>
            <w:tcW w:w="2047" w:type="dxa"/>
            <w:shd w:val="clear" w:color="auto" w:fill="D9D9D9" w:themeFill="background1" w:themeFillShade="D9"/>
            <w:noWrap/>
            <w:hideMark/>
          </w:tcPr>
          <w:p w14:paraId="4BCAB113" w14:textId="77777777" w:rsidR="00986125" w:rsidRPr="00580F59" w:rsidRDefault="00986125" w:rsidP="00232CF7">
            <w:pPr>
              <w:rPr>
                <w:rFonts w:eastAsia="Times New Roman" w:cstheme="minorHAnsi"/>
                <w:b/>
                <w:bCs/>
                <w:color w:val="000000"/>
                <w:sz w:val="20"/>
                <w:szCs w:val="20"/>
                <w:lang w:eastAsia="en-GB"/>
              </w:rPr>
            </w:pPr>
            <w:r w:rsidRPr="00580F59">
              <w:rPr>
                <w:rFonts w:eastAsia="Times New Roman" w:cstheme="minorHAnsi"/>
                <w:b/>
                <w:bCs/>
                <w:color w:val="000000"/>
                <w:sz w:val="20"/>
                <w:szCs w:val="20"/>
                <w:lang w:eastAsia="en-GB"/>
              </w:rPr>
              <w:t>Note on status</w:t>
            </w:r>
          </w:p>
        </w:tc>
      </w:tr>
      <w:tr w:rsidR="00986125" w:rsidRPr="00580F59" w14:paraId="2E2871A6" w14:textId="77777777" w:rsidTr="00232CF7">
        <w:trPr>
          <w:trHeight w:val="300"/>
        </w:trPr>
        <w:tc>
          <w:tcPr>
            <w:tcW w:w="3119" w:type="dxa"/>
            <w:noWrap/>
            <w:hideMark/>
          </w:tcPr>
          <w:p w14:paraId="77D927B0"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London Business School</w:t>
            </w:r>
          </w:p>
        </w:tc>
        <w:tc>
          <w:tcPr>
            <w:tcW w:w="2701" w:type="dxa"/>
            <w:hideMark/>
          </w:tcPr>
          <w:p w14:paraId="60D47B07"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12.8</w:t>
            </w:r>
          </w:p>
        </w:tc>
        <w:tc>
          <w:tcPr>
            <w:tcW w:w="2047" w:type="dxa"/>
            <w:noWrap/>
            <w:hideMark/>
          </w:tcPr>
          <w:p w14:paraId="5280B18E" w14:textId="77777777" w:rsidR="00986125" w:rsidRPr="00580F59" w:rsidRDefault="00986125" w:rsidP="00232CF7">
            <w:pPr>
              <w:rPr>
                <w:rFonts w:eastAsia="Times New Roman" w:cstheme="minorHAnsi"/>
                <w:sz w:val="20"/>
                <w:szCs w:val="20"/>
                <w:lang w:eastAsia="en-GB"/>
              </w:rPr>
            </w:pPr>
          </w:p>
        </w:tc>
      </w:tr>
      <w:tr w:rsidR="00986125" w:rsidRPr="00580F59" w14:paraId="6CE87DA0" w14:textId="77777777" w:rsidTr="00232CF7">
        <w:trPr>
          <w:trHeight w:val="300"/>
        </w:trPr>
        <w:tc>
          <w:tcPr>
            <w:tcW w:w="3119" w:type="dxa"/>
            <w:noWrap/>
            <w:hideMark/>
          </w:tcPr>
          <w:p w14:paraId="609CB7B5"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Oxford</w:t>
            </w:r>
          </w:p>
        </w:tc>
        <w:tc>
          <w:tcPr>
            <w:tcW w:w="2701" w:type="dxa"/>
            <w:hideMark/>
          </w:tcPr>
          <w:p w14:paraId="774082C0"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12.8</w:t>
            </w:r>
          </w:p>
        </w:tc>
        <w:tc>
          <w:tcPr>
            <w:tcW w:w="2047" w:type="dxa"/>
            <w:noWrap/>
            <w:hideMark/>
          </w:tcPr>
          <w:p w14:paraId="00E50474"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Russell Group</w:t>
            </w:r>
          </w:p>
        </w:tc>
      </w:tr>
      <w:tr w:rsidR="00986125" w:rsidRPr="00580F59" w14:paraId="1E2052D1" w14:textId="77777777" w:rsidTr="00232CF7">
        <w:trPr>
          <w:trHeight w:val="300"/>
        </w:trPr>
        <w:tc>
          <w:tcPr>
            <w:tcW w:w="3119" w:type="dxa"/>
            <w:noWrap/>
            <w:hideMark/>
          </w:tcPr>
          <w:p w14:paraId="2E2858C4"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London Metropolitan University</w:t>
            </w:r>
          </w:p>
        </w:tc>
        <w:tc>
          <w:tcPr>
            <w:tcW w:w="2701" w:type="dxa"/>
            <w:hideMark/>
          </w:tcPr>
          <w:p w14:paraId="5CE21CF6"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12.7</w:t>
            </w:r>
          </w:p>
        </w:tc>
        <w:tc>
          <w:tcPr>
            <w:tcW w:w="2047" w:type="dxa"/>
            <w:noWrap/>
            <w:hideMark/>
          </w:tcPr>
          <w:p w14:paraId="697DE753"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Post ‘92</w:t>
            </w:r>
          </w:p>
        </w:tc>
      </w:tr>
      <w:tr w:rsidR="00986125" w:rsidRPr="00580F59" w14:paraId="6AC098EC" w14:textId="77777777" w:rsidTr="00232CF7">
        <w:trPr>
          <w:trHeight w:val="300"/>
        </w:trPr>
        <w:tc>
          <w:tcPr>
            <w:tcW w:w="3119" w:type="dxa"/>
            <w:noWrap/>
            <w:hideMark/>
          </w:tcPr>
          <w:p w14:paraId="5915D279"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Cambridge</w:t>
            </w:r>
          </w:p>
        </w:tc>
        <w:tc>
          <w:tcPr>
            <w:tcW w:w="2701" w:type="dxa"/>
            <w:hideMark/>
          </w:tcPr>
          <w:p w14:paraId="35384ECA"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12.4</w:t>
            </w:r>
          </w:p>
        </w:tc>
        <w:tc>
          <w:tcPr>
            <w:tcW w:w="2047" w:type="dxa"/>
            <w:noWrap/>
            <w:hideMark/>
          </w:tcPr>
          <w:p w14:paraId="4C336543"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Russell Group</w:t>
            </w:r>
          </w:p>
        </w:tc>
      </w:tr>
      <w:tr w:rsidR="00986125" w:rsidRPr="00580F59" w14:paraId="1BC08B93" w14:textId="77777777" w:rsidTr="00232CF7">
        <w:trPr>
          <w:trHeight w:val="300"/>
        </w:trPr>
        <w:tc>
          <w:tcPr>
            <w:tcW w:w="3119" w:type="dxa"/>
            <w:noWrap/>
            <w:hideMark/>
          </w:tcPr>
          <w:p w14:paraId="79B790EA"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Essex</w:t>
            </w:r>
          </w:p>
        </w:tc>
        <w:tc>
          <w:tcPr>
            <w:tcW w:w="2701" w:type="dxa"/>
            <w:hideMark/>
          </w:tcPr>
          <w:p w14:paraId="123F5287"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12.3</w:t>
            </w:r>
          </w:p>
        </w:tc>
        <w:tc>
          <w:tcPr>
            <w:tcW w:w="2047" w:type="dxa"/>
            <w:noWrap/>
            <w:hideMark/>
          </w:tcPr>
          <w:p w14:paraId="224DBFB7" w14:textId="77777777" w:rsidR="00986125" w:rsidRPr="00580F59" w:rsidRDefault="00986125" w:rsidP="00232CF7">
            <w:pPr>
              <w:rPr>
                <w:rFonts w:eastAsia="Times New Roman" w:cstheme="minorHAnsi"/>
                <w:sz w:val="20"/>
                <w:szCs w:val="20"/>
                <w:lang w:eastAsia="en-GB"/>
              </w:rPr>
            </w:pPr>
          </w:p>
        </w:tc>
      </w:tr>
      <w:tr w:rsidR="00986125" w:rsidRPr="00580F59" w14:paraId="08908B28" w14:textId="77777777" w:rsidTr="00232CF7">
        <w:trPr>
          <w:trHeight w:val="300"/>
        </w:trPr>
        <w:tc>
          <w:tcPr>
            <w:tcW w:w="3119" w:type="dxa"/>
            <w:noWrap/>
            <w:hideMark/>
          </w:tcPr>
          <w:p w14:paraId="44B753CE"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Sheffield</w:t>
            </w:r>
          </w:p>
        </w:tc>
        <w:tc>
          <w:tcPr>
            <w:tcW w:w="2701" w:type="dxa"/>
            <w:hideMark/>
          </w:tcPr>
          <w:p w14:paraId="4816D1AA"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12.3</w:t>
            </w:r>
          </w:p>
        </w:tc>
        <w:tc>
          <w:tcPr>
            <w:tcW w:w="2047" w:type="dxa"/>
            <w:noWrap/>
            <w:hideMark/>
          </w:tcPr>
          <w:p w14:paraId="2E7639B4"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Russell Group</w:t>
            </w:r>
          </w:p>
        </w:tc>
      </w:tr>
      <w:tr w:rsidR="00986125" w:rsidRPr="00580F59" w14:paraId="74841341" w14:textId="77777777" w:rsidTr="00232CF7">
        <w:trPr>
          <w:trHeight w:val="300"/>
        </w:trPr>
        <w:tc>
          <w:tcPr>
            <w:tcW w:w="3119" w:type="dxa"/>
            <w:noWrap/>
            <w:hideMark/>
          </w:tcPr>
          <w:p w14:paraId="2C372C10"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Bath</w:t>
            </w:r>
          </w:p>
        </w:tc>
        <w:tc>
          <w:tcPr>
            <w:tcW w:w="2701" w:type="dxa"/>
            <w:hideMark/>
          </w:tcPr>
          <w:p w14:paraId="5BA233EF"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11.9</w:t>
            </w:r>
          </w:p>
        </w:tc>
        <w:tc>
          <w:tcPr>
            <w:tcW w:w="2047" w:type="dxa"/>
            <w:noWrap/>
            <w:hideMark/>
          </w:tcPr>
          <w:p w14:paraId="78AF34A8" w14:textId="77777777" w:rsidR="00986125" w:rsidRPr="00580F59" w:rsidRDefault="00986125" w:rsidP="00232CF7">
            <w:pPr>
              <w:rPr>
                <w:rFonts w:eastAsia="Times New Roman" w:cstheme="minorHAnsi"/>
                <w:sz w:val="20"/>
                <w:szCs w:val="20"/>
                <w:lang w:eastAsia="en-GB"/>
              </w:rPr>
            </w:pPr>
          </w:p>
        </w:tc>
      </w:tr>
      <w:tr w:rsidR="00986125" w:rsidRPr="00580F59" w14:paraId="706B4617" w14:textId="77777777" w:rsidTr="00232CF7">
        <w:trPr>
          <w:trHeight w:val="300"/>
        </w:trPr>
        <w:tc>
          <w:tcPr>
            <w:tcW w:w="3119" w:type="dxa"/>
            <w:noWrap/>
            <w:hideMark/>
          </w:tcPr>
          <w:p w14:paraId="09E39921"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Birmingham</w:t>
            </w:r>
          </w:p>
        </w:tc>
        <w:tc>
          <w:tcPr>
            <w:tcW w:w="2701" w:type="dxa"/>
            <w:hideMark/>
          </w:tcPr>
          <w:p w14:paraId="7B764BD8"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11.9</w:t>
            </w:r>
          </w:p>
        </w:tc>
        <w:tc>
          <w:tcPr>
            <w:tcW w:w="2047" w:type="dxa"/>
            <w:noWrap/>
            <w:hideMark/>
          </w:tcPr>
          <w:p w14:paraId="04489AE7"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Russell Group</w:t>
            </w:r>
          </w:p>
        </w:tc>
      </w:tr>
      <w:tr w:rsidR="00986125" w:rsidRPr="00580F59" w14:paraId="724F1438" w14:textId="77777777" w:rsidTr="00232CF7">
        <w:trPr>
          <w:trHeight w:val="300"/>
        </w:trPr>
        <w:tc>
          <w:tcPr>
            <w:tcW w:w="3119" w:type="dxa"/>
            <w:noWrap/>
            <w:hideMark/>
          </w:tcPr>
          <w:p w14:paraId="5E6CC6B5"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Worcester</w:t>
            </w:r>
          </w:p>
        </w:tc>
        <w:tc>
          <w:tcPr>
            <w:tcW w:w="2701" w:type="dxa"/>
            <w:hideMark/>
          </w:tcPr>
          <w:p w14:paraId="0E0FEC64"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11.4</w:t>
            </w:r>
          </w:p>
        </w:tc>
        <w:tc>
          <w:tcPr>
            <w:tcW w:w="2047" w:type="dxa"/>
            <w:noWrap/>
            <w:hideMark/>
          </w:tcPr>
          <w:p w14:paraId="13EC7B9E"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Post ‘92</w:t>
            </w:r>
          </w:p>
        </w:tc>
      </w:tr>
      <w:tr w:rsidR="00986125" w:rsidRPr="00580F59" w14:paraId="2EB42FFA" w14:textId="77777777" w:rsidTr="00232CF7">
        <w:trPr>
          <w:trHeight w:val="300"/>
        </w:trPr>
        <w:tc>
          <w:tcPr>
            <w:tcW w:w="3119" w:type="dxa"/>
            <w:noWrap/>
            <w:hideMark/>
          </w:tcPr>
          <w:p w14:paraId="5EC78E8B"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York</w:t>
            </w:r>
          </w:p>
        </w:tc>
        <w:tc>
          <w:tcPr>
            <w:tcW w:w="2701" w:type="dxa"/>
            <w:hideMark/>
          </w:tcPr>
          <w:p w14:paraId="28B46169"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10.9</w:t>
            </w:r>
          </w:p>
        </w:tc>
        <w:tc>
          <w:tcPr>
            <w:tcW w:w="2047" w:type="dxa"/>
            <w:noWrap/>
            <w:hideMark/>
          </w:tcPr>
          <w:p w14:paraId="2B09B6BD"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Russell Group</w:t>
            </w:r>
          </w:p>
        </w:tc>
      </w:tr>
      <w:tr w:rsidR="00986125" w:rsidRPr="00580F59" w14:paraId="3114D093" w14:textId="77777777" w:rsidTr="00232CF7">
        <w:trPr>
          <w:trHeight w:val="300"/>
        </w:trPr>
        <w:tc>
          <w:tcPr>
            <w:tcW w:w="3119" w:type="dxa"/>
            <w:noWrap/>
            <w:hideMark/>
          </w:tcPr>
          <w:p w14:paraId="51A14FF4"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Southampton</w:t>
            </w:r>
          </w:p>
        </w:tc>
        <w:tc>
          <w:tcPr>
            <w:tcW w:w="2701" w:type="dxa"/>
            <w:hideMark/>
          </w:tcPr>
          <w:p w14:paraId="34851E15"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10.9</w:t>
            </w:r>
          </w:p>
        </w:tc>
        <w:tc>
          <w:tcPr>
            <w:tcW w:w="2047" w:type="dxa"/>
            <w:noWrap/>
            <w:hideMark/>
          </w:tcPr>
          <w:p w14:paraId="71DFC851"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Russell Group</w:t>
            </w:r>
          </w:p>
        </w:tc>
      </w:tr>
      <w:tr w:rsidR="00986125" w:rsidRPr="00580F59" w14:paraId="25A02AB3" w14:textId="77777777" w:rsidTr="00232CF7">
        <w:trPr>
          <w:trHeight w:val="300"/>
        </w:trPr>
        <w:tc>
          <w:tcPr>
            <w:tcW w:w="3119" w:type="dxa"/>
            <w:noWrap/>
            <w:hideMark/>
          </w:tcPr>
          <w:p w14:paraId="069268B4"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Roehampton University</w:t>
            </w:r>
          </w:p>
        </w:tc>
        <w:tc>
          <w:tcPr>
            <w:tcW w:w="2701" w:type="dxa"/>
            <w:hideMark/>
          </w:tcPr>
          <w:p w14:paraId="39C777F0"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10.7</w:t>
            </w:r>
          </w:p>
        </w:tc>
        <w:tc>
          <w:tcPr>
            <w:tcW w:w="2047" w:type="dxa"/>
            <w:noWrap/>
            <w:hideMark/>
          </w:tcPr>
          <w:p w14:paraId="34511505"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Post ‘92</w:t>
            </w:r>
          </w:p>
        </w:tc>
      </w:tr>
      <w:tr w:rsidR="00986125" w:rsidRPr="00580F59" w14:paraId="34EA9855" w14:textId="77777777" w:rsidTr="00232CF7">
        <w:trPr>
          <w:trHeight w:val="300"/>
        </w:trPr>
        <w:tc>
          <w:tcPr>
            <w:tcW w:w="3119" w:type="dxa"/>
            <w:noWrap/>
            <w:hideMark/>
          </w:tcPr>
          <w:p w14:paraId="0C92CC41"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 xml:space="preserve">Royal Holloway </w:t>
            </w:r>
          </w:p>
        </w:tc>
        <w:tc>
          <w:tcPr>
            <w:tcW w:w="2701" w:type="dxa"/>
            <w:hideMark/>
          </w:tcPr>
          <w:p w14:paraId="76B28811"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10.5</w:t>
            </w:r>
          </w:p>
        </w:tc>
        <w:tc>
          <w:tcPr>
            <w:tcW w:w="2047" w:type="dxa"/>
            <w:noWrap/>
            <w:hideMark/>
          </w:tcPr>
          <w:p w14:paraId="3A1AE5B1" w14:textId="77777777" w:rsidR="00986125" w:rsidRPr="00580F59" w:rsidRDefault="00986125" w:rsidP="00232CF7">
            <w:pPr>
              <w:rPr>
                <w:rFonts w:eastAsia="Times New Roman" w:cstheme="minorHAnsi"/>
                <w:sz w:val="20"/>
                <w:szCs w:val="20"/>
                <w:lang w:eastAsia="en-GB"/>
              </w:rPr>
            </w:pPr>
          </w:p>
        </w:tc>
      </w:tr>
      <w:tr w:rsidR="00986125" w:rsidRPr="00580F59" w14:paraId="470B0C83" w14:textId="77777777" w:rsidTr="00232CF7">
        <w:trPr>
          <w:trHeight w:val="300"/>
        </w:trPr>
        <w:tc>
          <w:tcPr>
            <w:tcW w:w="3119" w:type="dxa"/>
            <w:noWrap/>
            <w:hideMark/>
          </w:tcPr>
          <w:p w14:paraId="26E2D756"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LSE</w:t>
            </w:r>
          </w:p>
        </w:tc>
        <w:tc>
          <w:tcPr>
            <w:tcW w:w="2701" w:type="dxa"/>
            <w:hideMark/>
          </w:tcPr>
          <w:p w14:paraId="676BCBA4"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10.5</w:t>
            </w:r>
          </w:p>
        </w:tc>
        <w:tc>
          <w:tcPr>
            <w:tcW w:w="2047" w:type="dxa"/>
            <w:noWrap/>
            <w:hideMark/>
          </w:tcPr>
          <w:p w14:paraId="2D7044C5"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Russell Group</w:t>
            </w:r>
          </w:p>
        </w:tc>
      </w:tr>
      <w:tr w:rsidR="00986125" w:rsidRPr="00580F59" w14:paraId="146098A9" w14:textId="77777777" w:rsidTr="00232CF7">
        <w:trPr>
          <w:trHeight w:val="300"/>
        </w:trPr>
        <w:tc>
          <w:tcPr>
            <w:tcW w:w="3119" w:type="dxa"/>
            <w:noWrap/>
            <w:hideMark/>
          </w:tcPr>
          <w:p w14:paraId="0DEBDA5B"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Leeds</w:t>
            </w:r>
          </w:p>
        </w:tc>
        <w:tc>
          <w:tcPr>
            <w:tcW w:w="2701" w:type="dxa"/>
            <w:hideMark/>
          </w:tcPr>
          <w:p w14:paraId="2C248397"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10.4</w:t>
            </w:r>
          </w:p>
        </w:tc>
        <w:tc>
          <w:tcPr>
            <w:tcW w:w="2047" w:type="dxa"/>
            <w:noWrap/>
            <w:hideMark/>
          </w:tcPr>
          <w:p w14:paraId="0FD909FB" w14:textId="77777777" w:rsidR="00986125" w:rsidRPr="00580F59" w:rsidRDefault="00986125" w:rsidP="00232CF7">
            <w:pPr>
              <w:rPr>
                <w:rFonts w:eastAsia="Times New Roman" w:cstheme="minorHAnsi"/>
                <w:sz w:val="20"/>
                <w:szCs w:val="20"/>
                <w:lang w:eastAsia="en-GB"/>
              </w:rPr>
            </w:pPr>
          </w:p>
        </w:tc>
      </w:tr>
      <w:tr w:rsidR="00986125" w:rsidRPr="00580F59" w14:paraId="0A27236F" w14:textId="77777777" w:rsidTr="00232CF7">
        <w:trPr>
          <w:trHeight w:val="300"/>
        </w:trPr>
        <w:tc>
          <w:tcPr>
            <w:tcW w:w="3119" w:type="dxa"/>
            <w:noWrap/>
            <w:hideMark/>
          </w:tcPr>
          <w:p w14:paraId="58CD40E4"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Surrey</w:t>
            </w:r>
          </w:p>
        </w:tc>
        <w:tc>
          <w:tcPr>
            <w:tcW w:w="2701" w:type="dxa"/>
            <w:hideMark/>
          </w:tcPr>
          <w:p w14:paraId="553F5F31"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10.2</w:t>
            </w:r>
          </w:p>
        </w:tc>
        <w:tc>
          <w:tcPr>
            <w:tcW w:w="2047" w:type="dxa"/>
            <w:noWrap/>
            <w:hideMark/>
          </w:tcPr>
          <w:p w14:paraId="7B33B802" w14:textId="77777777" w:rsidR="00986125" w:rsidRPr="00580F59" w:rsidRDefault="00986125" w:rsidP="00232CF7">
            <w:pPr>
              <w:rPr>
                <w:rFonts w:eastAsia="Times New Roman" w:cstheme="minorHAnsi"/>
                <w:sz w:val="20"/>
                <w:szCs w:val="20"/>
                <w:lang w:eastAsia="en-GB"/>
              </w:rPr>
            </w:pPr>
          </w:p>
        </w:tc>
      </w:tr>
      <w:tr w:rsidR="00986125" w:rsidRPr="00580F59" w14:paraId="0DA0B3D4" w14:textId="77777777" w:rsidTr="00232CF7">
        <w:trPr>
          <w:trHeight w:val="300"/>
        </w:trPr>
        <w:tc>
          <w:tcPr>
            <w:tcW w:w="3119" w:type="dxa"/>
            <w:noWrap/>
            <w:hideMark/>
          </w:tcPr>
          <w:p w14:paraId="1A8712CC"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Loughborough University</w:t>
            </w:r>
          </w:p>
        </w:tc>
        <w:tc>
          <w:tcPr>
            <w:tcW w:w="2701" w:type="dxa"/>
            <w:hideMark/>
          </w:tcPr>
          <w:p w14:paraId="4AE8DBCC"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10.1</w:t>
            </w:r>
          </w:p>
        </w:tc>
        <w:tc>
          <w:tcPr>
            <w:tcW w:w="2047" w:type="dxa"/>
            <w:noWrap/>
            <w:hideMark/>
          </w:tcPr>
          <w:p w14:paraId="62450A15" w14:textId="77777777" w:rsidR="00986125" w:rsidRPr="00580F59" w:rsidRDefault="00986125" w:rsidP="00232CF7">
            <w:pPr>
              <w:rPr>
                <w:rFonts w:eastAsia="Times New Roman" w:cstheme="minorHAnsi"/>
                <w:sz w:val="20"/>
                <w:szCs w:val="20"/>
                <w:lang w:eastAsia="en-GB"/>
              </w:rPr>
            </w:pPr>
          </w:p>
        </w:tc>
      </w:tr>
      <w:tr w:rsidR="00986125" w:rsidRPr="00580F59" w14:paraId="645D8725" w14:textId="77777777" w:rsidTr="00232CF7">
        <w:trPr>
          <w:trHeight w:val="300"/>
        </w:trPr>
        <w:tc>
          <w:tcPr>
            <w:tcW w:w="3119" w:type="dxa"/>
            <w:noWrap/>
            <w:hideMark/>
          </w:tcPr>
          <w:p w14:paraId="691F8A94"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Kent</w:t>
            </w:r>
          </w:p>
        </w:tc>
        <w:tc>
          <w:tcPr>
            <w:tcW w:w="2701" w:type="dxa"/>
            <w:hideMark/>
          </w:tcPr>
          <w:p w14:paraId="7A14434D"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10.0</w:t>
            </w:r>
          </w:p>
        </w:tc>
        <w:tc>
          <w:tcPr>
            <w:tcW w:w="2047" w:type="dxa"/>
            <w:noWrap/>
            <w:hideMark/>
          </w:tcPr>
          <w:p w14:paraId="7666E49E" w14:textId="77777777" w:rsidR="00986125" w:rsidRPr="00580F59" w:rsidRDefault="00986125" w:rsidP="00232CF7">
            <w:pPr>
              <w:rPr>
                <w:rFonts w:eastAsia="Times New Roman" w:cstheme="minorHAnsi"/>
                <w:sz w:val="20"/>
                <w:szCs w:val="20"/>
                <w:lang w:eastAsia="en-GB"/>
              </w:rPr>
            </w:pPr>
          </w:p>
        </w:tc>
      </w:tr>
      <w:tr w:rsidR="00986125" w:rsidRPr="00580F59" w14:paraId="0DDAA4F0" w14:textId="77777777" w:rsidTr="00232CF7">
        <w:trPr>
          <w:trHeight w:val="300"/>
        </w:trPr>
        <w:tc>
          <w:tcPr>
            <w:tcW w:w="3119" w:type="dxa"/>
            <w:noWrap/>
            <w:hideMark/>
          </w:tcPr>
          <w:p w14:paraId="7316791F"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Edge Hill University</w:t>
            </w:r>
          </w:p>
        </w:tc>
        <w:tc>
          <w:tcPr>
            <w:tcW w:w="2701" w:type="dxa"/>
            <w:hideMark/>
          </w:tcPr>
          <w:p w14:paraId="40317C91"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10.0</w:t>
            </w:r>
          </w:p>
        </w:tc>
        <w:tc>
          <w:tcPr>
            <w:tcW w:w="2047" w:type="dxa"/>
            <w:noWrap/>
            <w:hideMark/>
          </w:tcPr>
          <w:p w14:paraId="4584AC81"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Post ‘92</w:t>
            </w:r>
          </w:p>
        </w:tc>
      </w:tr>
      <w:tr w:rsidR="00986125" w:rsidRPr="00580F59" w14:paraId="7CA7503C" w14:textId="77777777" w:rsidTr="00232CF7">
        <w:trPr>
          <w:trHeight w:val="300"/>
        </w:trPr>
        <w:tc>
          <w:tcPr>
            <w:tcW w:w="3119" w:type="dxa"/>
            <w:noWrap/>
            <w:hideMark/>
          </w:tcPr>
          <w:p w14:paraId="17F63706"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City, University of London</w:t>
            </w:r>
          </w:p>
        </w:tc>
        <w:tc>
          <w:tcPr>
            <w:tcW w:w="2701" w:type="dxa"/>
            <w:hideMark/>
          </w:tcPr>
          <w:p w14:paraId="5BA99E9F"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10.0</w:t>
            </w:r>
          </w:p>
        </w:tc>
        <w:tc>
          <w:tcPr>
            <w:tcW w:w="2047" w:type="dxa"/>
            <w:noWrap/>
            <w:hideMark/>
          </w:tcPr>
          <w:p w14:paraId="15371181" w14:textId="77777777" w:rsidR="00986125" w:rsidRPr="00580F59" w:rsidRDefault="00986125" w:rsidP="00232CF7">
            <w:pPr>
              <w:rPr>
                <w:rFonts w:eastAsia="Times New Roman" w:cstheme="minorHAnsi"/>
                <w:sz w:val="20"/>
                <w:szCs w:val="20"/>
                <w:lang w:eastAsia="en-GB"/>
              </w:rPr>
            </w:pPr>
          </w:p>
        </w:tc>
      </w:tr>
      <w:tr w:rsidR="00986125" w:rsidRPr="00580F59" w14:paraId="63814B15" w14:textId="77777777" w:rsidTr="00232CF7">
        <w:trPr>
          <w:trHeight w:val="300"/>
        </w:trPr>
        <w:tc>
          <w:tcPr>
            <w:tcW w:w="3119" w:type="dxa"/>
            <w:noWrap/>
            <w:hideMark/>
          </w:tcPr>
          <w:p w14:paraId="39BE0DDA"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the West of England</w:t>
            </w:r>
          </w:p>
        </w:tc>
        <w:tc>
          <w:tcPr>
            <w:tcW w:w="2701" w:type="dxa"/>
            <w:hideMark/>
          </w:tcPr>
          <w:p w14:paraId="4B262801"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9.9</w:t>
            </w:r>
          </w:p>
        </w:tc>
        <w:tc>
          <w:tcPr>
            <w:tcW w:w="2047" w:type="dxa"/>
            <w:noWrap/>
            <w:hideMark/>
          </w:tcPr>
          <w:p w14:paraId="11D996F7"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Post ‘92</w:t>
            </w:r>
          </w:p>
        </w:tc>
      </w:tr>
      <w:tr w:rsidR="00986125" w:rsidRPr="00580F59" w14:paraId="21D19996" w14:textId="77777777" w:rsidTr="00232CF7">
        <w:trPr>
          <w:trHeight w:val="300"/>
        </w:trPr>
        <w:tc>
          <w:tcPr>
            <w:tcW w:w="3119" w:type="dxa"/>
            <w:noWrap/>
            <w:hideMark/>
          </w:tcPr>
          <w:p w14:paraId="722A5E29"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Open University</w:t>
            </w:r>
          </w:p>
        </w:tc>
        <w:tc>
          <w:tcPr>
            <w:tcW w:w="2701" w:type="dxa"/>
            <w:hideMark/>
          </w:tcPr>
          <w:p w14:paraId="5E6B3C8F"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9.9</w:t>
            </w:r>
          </w:p>
        </w:tc>
        <w:tc>
          <w:tcPr>
            <w:tcW w:w="2047" w:type="dxa"/>
            <w:noWrap/>
            <w:hideMark/>
          </w:tcPr>
          <w:p w14:paraId="52FF28EB" w14:textId="77777777" w:rsidR="00986125" w:rsidRPr="00580F59" w:rsidRDefault="00986125" w:rsidP="00232CF7">
            <w:pPr>
              <w:rPr>
                <w:rFonts w:eastAsia="Times New Roman" w:cstheme="minorHAnsi"/>
                <w:sz w:val="20"/>
                <w:szCs w:val="20"/>
                <w:lang w:eastAsia="en-GB"/>
              </w:rPr>
            </w:pPr>
          </w:p>
        </w:tc>
      </w:tr>
      <w:tr w:rsidR="00986125" w:rsidRPr="00580F59" w14:paraId="03FB5E22" w14:textId="77777777" w:rsidTr="00232CF7">
        <w:trPr>
          <w:trHeight w:val="300"/>
        </w:trPr>
        <w:tc>
          <w:tcPr>
            <w:tcW w:w="3119" w:type="dxa"/>
            <w:noWrap/>
            <w:hideMark/>
          </w:tcPr>
          <w:p w14:paraId="00FDDDA6"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Newcastle</w:t>
            </w:r>
          </w:p>
        </w:tc>
        <w:tc>
          <w:tcPr>
            <w:tcW w:w="2701" w:type="dxa"/>
            <w:hideMark/>
          </w:tcPr>
          <w:p w14:paraId="262CC7BA"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9.8</w:t>
            </w:r>
          </w:p>
        </w:tc>
        <w:tc>
          <w:tcPr>
            <w:tcW w:w="2047" w:type="dxa"/>
            <w:noWrap/>
            <w:hideMark/>
          </w:tcPr>
          <w:p w14:paraId="1EF6FAAC"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Russell Group</w:t>
            </w:r>
          </w:p>
        </w:tc>
      </w:tr>
      <w:tr w:rsidR="00986125" w:rsidRPr="00580F59" w14:paraId="4D27DF94" w14:textId="77777777" w:rsidTr="00232CF7">
        <w:trPr>
          <w:trHeight w:val="300"/>
        </w:trPr>
        <w:tc>
          <w:tcPr>
            <w:tcW w:w="3119" w:type="dxa"/>
            <w:noWrap/>
            <w:hideMark/>
          </w:tcPr>
          <w:p w14:paraId="5D56FEAD"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King's College London</w:t>
            </w:r>
          </w:p>
        </w:tc>
        <w:tc>
          <w:tcPr>
            <w:tcW w:w="2701" w:type="dxa"/>
            <w:hideMark/>
          </w:tcPr>
          <w:p w14:paraId="6D751D81"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9.8</w:t>
            </w:r>
          </w:p>
        </w:tc>
        <w:tc>
          <w:tcPr>
            <w:tcW w:w="2047" w:type="dxa"/>
            <w:noWrap/>
            <w:hideMark/>
          </w:tcPr>
          <w:p w14:paraId="40F9E08A"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Russell Group</w:t>
            </w:r>
          </w:p>
        </w:tc>
      </w:tr>
      <w:tr w:rsidR="00986125" w:rsidRPr="00580F59" w14:paraId="197FA6A8" w14:textId="77777777" w:rsidTr="00232CF7">
        <w:trPr>
          <w:trHeight w:val="300"/>
        </w:trPr>
        <w:tc>
          <w:tcPr>
            <w:tcW w:w="3119" w:type="dxa"/>
            <w:noWrap/>
            <w:hideMark/>
          </w:tcPr>
          <w:p w14:paraId="0DB91B9E"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Huddersfield</w:t>
            </w:r>
          </w:p>
        </w:tc>
        <w:tc>
          <w:tcPr>
            <w:tcW w:w="2701" w:type="dxa"/>
            <w:hideMark/>
          </w:tcPr>
          <w:p w14:paraId="116530A0"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9.7</w:t>
            </w:r>
          </w:p>
        </w:tc>
        <w:tc>
          <w:tcPr>
            <w:tcW w:w="2047" w:type="dxa"/>
            <w:noWrap/>
            <w:hideMark/>
          </w:tcPr>
          <w:p w14:paraId="720734C0"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Post ‘92</w:t>
            </w:r>
          </w:p>
        </w:tc>
      </w:tr>
      <w:tr w:rsidR="00986125" w:rsidRPr="00580F59" w14:paraId="471686DE" w14:textId="77777777" w:rsidTr="00232CF7">
        <w:trPr>
          <w:trHeight w:val="300"/>
        </w:trPr>
        <w:tc>
          <w:tcPr>
            <w:tcW w:w="3119" w:type="dxa"/>
            <w:noWrap/>
            <w:hideMark/>
          </w:tcPr>
          <w:p w14:paraId="51294D14"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Nottingham Trent University</w:t>
            </w:r>
          </w:p>
        </w:tc>
        <w:tc>
          <w:tcPr>
            <w:tcW w:w="2701" w:type="dxa"/>
            <w:hideMark/>
          </w:tcPr>
          <w:p w14:paraId="387ECE22"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9.6</w:t>
            </w:r>
          </w:p>
        </w:tc>
        <w:tc>
          <w:tcPr>
            <w:tcW w:w="2047" w:type="dxa"/>
            <w:noWrap/>
            <w:hideMark/>
          </w:tcPr>
          <w:p w14:paraId="73B6CE55"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Post ‘92</w:t>
            </w:r>
          </w:p>
        </w:tc>
      </w:tr>
      <w:tr w:rsidR="00986125" w:rsidRPr="00580F59" w14:paraId="6BA6B4B2" w14:textId="77777777" w:rsidTr="00232CF7">
        <w:trPr>
          <w:trHeight w:val="300"/>
        </w:trPr>
        <w:tc>
          <w:tcPr>
            <w:tcW w:w="3119" w:type="dxa"/>
            <w:noWrap/>
            <w:hideMark/>
          </w:tcPr>
          <w:p w14:paraId="4640D361"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The University of Liverpool</w:t>
            </w:r>
          </w:p>
        </w:tc>
        <w:tc>
          <w:tcPr>
            <w:tcW w:w="2701" w:type="dxa"/>
            <w:hideMark/>
          </w:tcPr>
          <w:p w14:paraId="3FFA1D2F"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9.6</w:t>
            </w:r>
          </w:p>
        </w:tc>
        <w:tc>
          <w:tcPr>
            <w:tcW w:w="2047" w:type="dxa"/>
            <w:noWrap/>
            <w:hideMark/>
          </w:tcPr>
          <w:p w14:paraId="793E71F5"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Russell Group</w:t>
            </w:r>
          </w:p>
        </w:tc>
      </w:tr>
      <w:tr w:rsidR="00986125" w:rsidRPr="00580F59" w14:paraId="47C6F559" w14:textId="77777777" w:rsidTr="00232CF7">
        <w:trPr>
          <w:trHeight w:val="300"/>
        </w:trPr>
        <w:tc>
          <w:tcPr>
            <w:tcW w:w="3119" w:type="dxa"/>
            <w:noWrap/>
            <w:hideMark/>
          </w:tcPr>
          <w:p w14:paraId="756EF1B1"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Royal Veterinary College</w:t>
            </w:r>
          </w:p>
        </w:tc>
        <w:tc>
          <w:tcPr>
            <w:tcW w:w="2701" w:type="dxa"/>
            <w:hideMark/>
          </w:tcPr>
          <w:p w14:paraId="3C3B1C32"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9.2</w:t>
            </w:r>
          </w:p>
        </w:tc>
        <w:tc>
          <w:tcPr>
            <w:tcW w:w="2047" w:type="dxa"/>
            <w:noWrap/>
            <w:hideMark/>
          </w:tcPr>
          <w:p w14:paraId="42B57E9C" w14:textId="77777777" w:rsidR="00986125" w:rsidRPr="00580F59" w:rsidRDefault="00986125" w:rsidP="00232CF7">
            <w:pPr>
              <w:rPr>
                <w:rFonts w:eastAsia="Times New Roman" w:cstheme="minorHAnsi"/>
                <w:sz w:val="20"/>
                <w:szCs w:val="20"/>
                <w:lang w:eastAsia="en-GB"/>
              </w:rPr>
            </w:pPr>
          </w:p>
        </w:tc>
      </w:tr>
      <w:tr w:rsidR="00986125" w:rsidRPr="00580F59" w14:paraId="094314AC" w14:textId="77777777" w:rsidTr="00232CF7">
        <w:trPr>
          <w:trHeight w:val="300"/>
        </w:trPr>
        <w:tc>
          <w:tcPr>
            <w:tcW w:w="3119" w:type="dxa"/>
            <w:noWrap/>
            <w:hideMark/>
          </w:tcPr>
          <w:p w14:paraId="36BF2688"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Birkbeck College</w:t>
            </w:r>
          </w:p>
        </w:tc>
        <w:tc>
          <w:tcPr>
            <w:tcW w:w="2701" w:type="dxa"/>
            <w:hideMark/>
          </w:tcPr>
          <w:p w14:paraId="5E360905"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9.2</w:t>
            </w:r>
          </w:p>
        </w:tc>
        <w:tc>
          <w:tcPr>
            <w:tcW w:w="2047" w:type="dxa"/>
            <w:noWrap/>
            <w:hideMark/>
          </w:tcPr>
          <w:p w14:paraId="5A04E7F2" w14:textId="77777777" w:rsidR="00986125" w:rsidRPr="00580F59" w:rsidRDefault="00986125" w:rsidP="00232CF7">
            <w:pPr>
              <w:rPr>
                <w:rFonts w:eastAsia="Times New Roman" w:cstheme="minorHAnsi"/>
                <w:sz w:val="20"/>
                <w:szCs w:val="20"/>
                <w:lang w:eastAsia="en-GB"/>
              </w:rPr>
            </w:pPr>
          </w:p>
        </w:tc>
      </w:tr>
      <w:tr w:rsidR="00986125" w:rsidRPr="00580F59" w14:paraId="5719DEEF" w14:textId="77777777" w:rsidTr="00232CF7">
        <w:trPr>
          <w:trHeight w:val="300"/>
        </w:trPr>
        <w:tc>
          <w:tcPr>
            <w:tcW w:w="3119" w:type="dxa"/>
            <w:noWrap/>
            <w:hideMark/>
          </w:tcPr>
          <w:p w14:paraId="6D7CB138" w14:textId="77777777" w:rsidR="00986125" w:rsidRPr="00580F59" w:rsidRDefault="00986125" w:rsidP="00232CF7">
            <w:pPr>
              <w:rPr>
                <w:rFonts w:eastAsia="Times New Roman" w:cstheme="minorHAnsi"/>
                <w:color w:val="000000"/>
                <w:sz w:val="20"/>
                <w:szCs w:val="20"/>
                <w:lang w:eastAsia="en-GB"/>
              </w:rPr>
            </w:pPr>
            <w:r w:rsidRPr="00580F59">
              <w:rPr>
                <w:rFonts w:eastAsia="Times New Roman" w:cstheme="minorHAnsi"/>
                <w:color w:val="000000"/>
                <w:sz w:val="20"/>
                <w:szCs w:val="20"/>
                <w:lang w:eastAsia="en-GB"/>
              </w:rPr>
              <w:t>University of Reading</w:t>
            </w:r>
          </w:p>
        </w:tc>
        <w:tc>
          <w:tcPr>
            <w:tcW w:w="2701" w:type="dxa"/>
            <w:hideMark/>
          </w:tcPr>
          <w:p w14:paraId="63A7AE06" w14:textId="77777777" w:rsidR="00986125" w:rsidRPr="00580F59" w:rsidRDefault="00986125" w:rsidP="00232CF7">
            <w:pPr>
              <w:jc w:val="right"/>
              <w:rPr>
                <w:rFonts w:eastAsia="Times New Roman" w:cstheme="minorHAnsi"/>
                <w:color w:val="000000"/>
                <w:sz w:val="20"/>
                <w:szCs w:val="20"/>
                <w:lang w:eastAsia="en-GB"/>
              </w:rPr>
            </w:pPr>
            <w:r w:rsidRPr="00580F59">
              <w:rPr>
                <w:rFonts w:eastAsia="Times New Roman" w:cstheme="minorHAnsi"/>
                <w:color w:val="000000"/>
                <w:sz w:val="20"/>
                <w:szCs w:val="20"/>
                <w:lang w:eastAsia="en-GB"/>
              </w:rPr>
              <w:t>9.2</w:t>
            </w:r>
          </w:p>
        </w:tc>
        <w:tc>
          <w:tcPr>
            <w:tcW w:w="2047" w:type="dxa"/>
            <w:noWrap/>
            <w:hideMark/>
          </w:tcPr>
          <w:p w14:paraId="32CBFF9C" w14:textId="77777777" w:rsidR="00986125" w:rsidRPr="00580F59" w:rsidRDefault="00986125" w:rsidP="00232CF7">
            <w:pPr>
              <w:rPr>
                <w:rFonts w:eastAsia="Times New Roman" w:cstheme="minorHAnsi"/>
                <w:sz w:val="20"/>
                <w:szCs w:val="20"/>
                <w:lang w:eastAsia="en-GB"/>
              </w:rPr>
            </w:pPr>
          </w:p>
        </w:tc>
      </w:tr>
    </w:tbl>
    <w:p w14:paraId="332C7813" w14:textId="0548EA45" w:rsidR="00FE46B4" w:rsidRPr="00126B2F" w:rsidRDefault="00FE46B4" w:rsidP="00F7771F">
      <w:pPr>
        <w:spacing w:after="0" w:line="360" w:lineRule="auto"/>
        <w:rPr>
          <w:rFonts w:cs="Times New Roman"/>
          <w:b/>
          <w:bCs/>
          <w:sz w:val="24"/>
          <w:szCs w:val="24"/>
        </w:rPr>
      </w:pPr>
    </w:p>
    <w:p w14:paraId="2DC60AFD" w14:textId="104C1EBB" w:rsidR="005935DA" w:rsidRDefault="005935DA" w:rsidP="00F7771F">
      <w:pPr>
        <w:spacing w:after="0" w:line="360" w:lineRule="auto"/>
        <w:rPr>
          <w:rFonts w:cs="Times New Roman"/>
          <w:sz w:val="24"/>
          <w:szCs w:val="24"/>
        </w:rPr>
      </w:pPr>
      <w:r w:rsidRPr="00CF1062">
        <w:rPr>
          <w:rFonts w:cs="Times New Roman"/>
          <w:sz w:val="24"/>
          <w:szCs w:val="24"/>
        </w:rPr>
        <w:t xml:space="preserve">(Derived from: </w:t>
      </w:r>
      <w:proofErr w:type="spellStart"/>
      <w:r w:rsidRPr="00CF1062">
        <w:rPr>
          <w:rFonts w:cs="Times New Roman"/>
          <w:sz w:val="24"/>
          <w:szCs w:val="24"/>
        </w:rPr>
        <w:t>OfS</w:t>
      </w:r>
      <w:proofErr w:type="spellEnd"/>
      <w:r w:rsidRPr="00CF1062">
        <w:rPr>
          <w:rFonts w:cs="Times New Roman"/>
          <w:sz w:val="24"/>
          <w:szCs w:val="24"/>
        </w:rPr>
        <w:t>, 2020)</w:t>
      </w:r>
    </w:p>
    <w:p w14:paraId="53439AD6" w14:textId="77777777" w:rsidR="00CF1062" w:rsidRPr="00CF1062" w:rsidRDefault="00CF1062" w:rsidP="00F7771F">
      <w:pPr>
        <w:spacing w:after="0" w:line="360" w:lineRule="auto"/>
        <w:rPr>
          <w:rFonts w:cs="Times New Roman"/>
          <w:i/>
          <w:iCs/>
          <w:sz w:val="24"/>
          <w:szCs w:val="24"/>
        </w:rPr>
      </w:pPr>
    </w:p>
    <w:p w14:paraId="594FFC0F" w14:textId="38BD3FB0" w:rsidR="00FE46B4" w:rsidRPr="00126B2F" w:rsidRDefault="00856C63" w:rsidP="00F7771F">
      <w:pPr>
        <w:spacing w:after="0" w:line="360" w:lineRule="auto"/>
        <w:rPr>
          <w:rFonts w:cs="Times New Roman"/>
          <w:b/>
          <w:bCs/>
          <w:i/>
          <w:iCs/>
          <w:sz w:val="24"/>
          <w:szCs w:val="24"/>
        </w:rPr>
      </w:pPr>
      <w:r w:rsidRPr="00126B2F">
        <w:rPr>
          <w:rFonts w:cs="Times New Roman"/>
          <w:b/>
          <w:bCs/>
          <w:i/>
          <w:iCs/>
          <w:sz w:val="24"/>
          <w:szCs w:val="24"/>
        </w:rPr>
        <w:t xml:space="preserve">How VC remuneration is </w:t>
      </w:r>
      <w:r w:rsidR="00A967BC" w:rsidRPr="00126B2F">
        <w:rPr>
          <w:rFonts w:cs="Times New Roman"/>
          <w:b/>
          <w:bCs/>
          <w:i/>
          <w:iCs/>
          <w:sz w:val="24"/>
          <w:szCs w:val="24"/>
        </w:rPr>
        <w:t xml:space="preserve">currently </w:t>
      </w:r>
      <w:r w:rsidRPr="00126B2F">
        <w:rPr>
          <w:rFonts w:cs="Times New Roman"/>
          <w:b/>
          <w:bCs/>
          <w:i/>
          <w:iCs/>
          <w:sz w:val="24"/>
          <w:szCs w:val="24"/>
        </w:rPr>
        <w:t>set</w:t>
      </w:r>
    </w:p>
    <w:p w14:paraId="5143206A" w14:textId="4F412671" w:rsidR="00F7771F" w:rsidRDefault="00374547" w:rsidP="00F7771F">
      <w:pPr>
        <w:spacing w:after="0" w:line="360" w:lineRule="auto"/>
        <w:rPr>
          <w:rFonts w:cs="Times New Roman"/>
          <w:color w:val="000000"/>
          <w:sz w:val="24"/>
          <w:szCs w:val="24"/>
        </w:rPr>
      </w:pPr>
      <w:r w:rsidRPr="00126B2F">
        <w:rPr>
          <w:rFonts w:cs="Times New Roman"/>
          <w:sz w:val="24"/>
          <w:szCs w:val="24"/>
        </w:rPr>
        <w:t xml:space="preserve">In both Australia and the UK VCs’ remuneration is determined by a remuneration committee of the council for each university. </w:t>
      </w:r>
      <w:r w:rsidR="00FE46B4" w:rsidRPr="00126B2F">
        <w:rPr>
          <w:rFonts w:cs="Times New Roman"/>
          <w:color w:val="000000"/>
          <w:sz w:val="24"/>
          <w:szCs w:val="24"/>
        </w:rPr>
        <w:t xml:space="preserve">Many universities publicly justify the remuneration levels of their VCs on the basis that the salaries are independently determined by </w:t>
      </w:r>
      <w:r w:rsidRPr="00126B2F">
        <w:rPr>
          <w:rFonts w:cs="Times New Roman"/>
          <w:color w:val="000000"/>
          <w:sz w:val="24"/>
          <w:szCs w:val="24"/>
        </w:rPr>
        <w:t xml:space="preserve">these </w:t>
      </w:r>
      <w:r w:rsidR="00FE46B4" w:rsidRPr="00126B2F">
        <w:rPr>
          <w:rFonts w:cs="Times New Roman"/>
          <w:color w:val="000000"/>
          <w:sz w:val="24"/>
          <w:szCs w:val="24"/>
        </w:rPr>
        <w:t xml:space="preserve">committees </w:t>
      </w:r>
      <w:r w:rsidR="00A0564D">
        <w:rPr>
          <w:rFonts w:cs="Times New Roman"/>
          <w:color w:val="000000"/>
          <w:sz w:val="24"/>
          <w:szCs w:val="24"/>
        </w:rPr>
        <w:t>following rigorous</w:t>
      </w:r>
      <w:r w:rsidR="00FE46B4" w:rsidRPr="00126B2F">
        <w:rPr>
          <w:rFonts w:cs="Times New Roman"/>
          <w:color w:val="000000"/>
          <w:sz w:val="24"/>
          <w:szCs w:val="24"/>
        </w:rPr>
        <w:t xml:space="preserve"> external benchmarking exercises. However, </w:t>
      </w:r>
      <w:r w:rsidR="00A0564D">
        <w:rPr>
          <w:rFonts w:cs="Times New Roman"/>
          <w:color w:val="000000"/>
          <w:sz w:val="24"/>
          <w:szCs w:val="24"/>
        </w:rPr>
        <w:t>our</w:t>
      </w:r>
      <w:r w:rsidR="00FE46B4" w:rsidRPr="00126B2F">
        <w:rPr>
          <w:rFonts w:cs="Times New Roman"/>
          <w:color w:val="000000"/>
          <w:sz w:val="24"/>
          <w:szCs w:val="24"/>
        </w:rPr>
        <w:t xml:space="preserve"> search of publicly available documents sourced through university websites reveals that</w:t>
      </w:r>
      <w:r w:rsidR="00A0564D">
        <w:rPr>
          <w:rFonts w:cs="Times New Roman"/>
          <w:color w:val="000000"/>
          <w:sz w:val="24"/>
          <w:szCs w:val="24"/>
        </w:rPr>
        <w:t>,</w:t>
      </w:r>
      <w:r w:rsidR="00F7771F">
        <w:rPr>
          <w:rFonts w:cs="Times New Roman"/>
          <w:color w:val="000000"/>
          <w:sz w:val="24"/>
          <w:szCs w:val="24"/>
        </w:rPr>
        <w:t xml:space="preserve"> </w:t>
      </w:r>
      <w:r w:rsidR="00FE46B4" w:rsidRPr="00126B2F">
        <w:rPr>
          <w:rFonts w:cs="Times New Roman"/>
          <w:color w:val="000000"/>
          <w:sz w:val="24"/>
          <w:szCs w:val="24"/>
        </w:rPr>
        <w:t>in 2018</w:t>
      </w:r>
      <w:r w:rsidR="00A0564D">
        <w:rPr>
          <w:rFonts w:cs="Times New Roman"/>
          <w:color w:val="000000"/>
          <w:sz w:val="24"/>
          <w:szCs w:val="24"/>
        </w:rPr>
        <w:t>,</w:t>
      </w:r>
      <w:r w:rsidR="00F7771F">
        <w:rPr>
          <w:rFonts w:cs="Times New Roman"/>
          <w:color w:val="000000"/>
          <w:sz w:val="24"/>
          <w:szCs w:val="24"/>
        </w:rPr>
        <w:t xml:space="preserve"> </w:t>
      </w:r>
      <w:r w:rsidR="00FE46B4" w:rsidRPr="00126B2F">
        <w:rPr>
          <w:rFonts w:cs="Times New Roman"/>
          <w:color w:val="000000"/>
          <w:sz w:val="24"/>
          <w:szCs w:val="24"/>
        </w:rPr>
        <w:lastRenderedPageBreak/>
        <w:t xml:space="preserve">more than half of all Australian VCs were members </w:t>
      </w:r>
      <w:r w:rsidR="00A0564D">
        <w:rPr>
          <w:rFonts w:cs="Times New Roman"/>
          <w:color w:val="000000"/>
          <w:sz w:val="24"/>
          <w:szCs w:val="24"/>
        </w:rPr>
        <w:t xml:space="preserve">of </w:t>
      </w:r>
      <w:r w:rsidR="00FE46B4" w:rsidRPr="00126B2F">
        <w:rPr>
          <w:rFonts w:cs="Times New Roman"/>
          <w:color w:val="000000"/>
          <w:sz w:val="24"/>
          <w:szCs w:val="24"/>
        </w:rPr>
        <w:t xml:space="preserve">or had formal rights of audience and debate at the renumeration committee meetings that determined their own </w:t>
      </w:r>
      <w:r w:rsidR="00E960D7">
        <w:rPr>
          <w:rFonts w:cs="Times New Roman"/>
          <w:color w:val="000000"/>
          <w:sz w:val="24"/>
          <w:szCs w:val="24"/>
        </w:rPr>
        <w:t>remuneration</w:t>
      </w:r>
      <w:r w:rsidR="00FE46B4" w:rsidRPr="00126B2F">
        <w:rPr>
          <w:rFonts w:cs="Times New Roman"/>
          <w:color w:val="000000"/>
          <w:sz w:val="24"/>
          <w:szCs w:val="24"/>
        </w:rPr>
        <w:t>. In only 11 Australian universities were VCs formally excluded from such deliberations.</w:t>
      </w:r>
    </w:p>
    <w:p w14:paraId="763C4330" w14:textId="77777777" w:rsidR="00F7771F" w:rsidRDefault="00F7771F" w:rsidP="00F7771F">
      <w:pPr>
        <w:spacing w:after="0" w:line="360" w:lineRule="auto"/>
        <w:rPr>
          <w:rFonts w:cs="Times New Roman"/>
          <w:color w:val="000000"/>
          <w:sz w:val="24"/>
          <w:szCs w:val="24"/>
        </w:rPr>
      </w:pPr>
    </w:p>
    <w:p w14:paraId="5CF2F073" w14:textId="0FE3B630" w:rsidR="008B5CFC" w:rsidRDefault="00FE46B4" w:rsidP="00F7771F">
      <w:pPr>
        <w:spacing w:after="0" w:line="360" w:lineRule="auto"/>
        <w:rPr>
          <w:rFonts w:cs="Times New Roman"/>
          <w:color w:val="000000"/>
          <w:sz w:val="24"/>
          <w:szCs w:val="24"/>
        </w:rPr>
      </w:pPr>
      <w:r w:rsidRPr="00126B2F">
        <w:rPr>
          <w:rFonts w:cs="Times New Roman"/>
          <w:color w:val="000000"/>
          <w:sz w:val="24"/>
          <w:szCs w:val="24"/>
        </w:rPr>
        <w:t xml:space="preserve">Through Freedom of Information Act requests, the </w:t>
      </w:r>
      <w:r w:rsidR="00A967BC" w:rsidRPr="00126B2F">
        <w:rPr>
          <w:rFonts w:cs="Times New Roman"/>
          <w:color w:val="000000"/>
          <w:sz w:val="24"/>
          <w:szCs w:val="24"/>
        </w:rPr>
        <w:t xml:space="preserve">UK </w:t>
      </w:r>
      <w:r w:rsidRPr="00126B2F">
        <w:rPr>
          <w:rFonts w:cs="Times New Roman"/>
          <w:color w:val="000000"/>
          <w:sz w:val="24"/>
          <w:szCs w:val="24"/>
        </w:rPr>
        <w:t>University and College Union</w:t>
      </w:r>
      <w:r w:rsidR="00F7771F">
        <w:rPr>
          <w:rFonts w:cs="Times New Roman"/>
          <w:color w:val="000000"/>
          <w:sz w:val="24"/>
          <w:szCs w:val="24"/>
        </w:rPr>
        <w:t xml:space="preserve"> </w:t>
      </w:r>
      <w:r w:rsidRPr="00126B2F">
        <w:rPr>
          <w:rFonts w:cs="Times New Roman"/>
          <w:color w:val="000000"/>
          <w:sz w:val="24"/>
          <w:szCs w:val="24"/>
        </w:rPr>
        <w:t>found that</w:t>
      </w:r>
      <w:r w:rsidR="00A0564D">
        <w:rPr>
          <w:rFonts w:cs="Times New Roman"/>
          <w:color w:val="000000"/>
          <w:sz w:val="24"/>
          <w:szCs w:val="24"/>
        </w:rPr>
        <w:t>,</w:t>
      </w:r>
      <w:r w:rsidR="00F7771F">
        <w:rPr>
          <w:rFonts w:cs="Times New Roman"/>
          <w:color w:val="000000"/>
          <w:sz w:val="24"/>
          <w:szCs w:val="24"/>
        </w:rPr>
        <w:t xml:space="preserve"> </w:t>
      </w:r>
      <w:r w:rsidRPr="00126B2F">
        <w:rPr>
          <w:rFonts w:cs="Times New Roman"/>
          <w:color w:val="000000"/>
          <w:sz w:val="24"/>
          <w:szCs w:val="24"/>
        </w:rPr>
        <w:t>in 2018</w:t>
      </w:r>
      <w:r w:rsidR="00A0564D">
        <w:rPr>
          <w:rFonts w:cs="Times New Roman"/>
          <w:color w:val="000000"/>
          <w:sz w:val="24"/>
          <w:szCs w:val="24"/>
        </w:rPr>
        <w:t>,</w:t>
      </w:r>
      <w:r w:rsidRPr="00126B2F">
        <w:rPr>
          <w:rFonts w:cs="Times New Roman"/>
          <w:color w:val="000000"/>
          <w:sz w:val="24"/>
          <w:szCs w:val="24"/>
        </w:rPr>
        <w:t xml:space="preserve"> 95% of VCs were either members of the remuneration committee that set their own salar</w:t>
      </w:r>
      <w:r w:rsidR="00F7771F">
        <w:rPr>
          <w:rFonts w:cs="Times New Roman"/>
          <w:color w:val="000000"/>
          <w:sz w:val="24"/>
          <w:szCs w:val="24"/>
        </w:rPr>
        <w:t>y</w:t>
      </w:r>
      <w:r w:rsidRPr="00126B2F">
        <w:rPr>
          <w:rFonts w:cs="Times New Roman"/>
          <w:color w:val="000000"/>
          <w:sz w:val="24"/>
          <w:szCs w:val="24"/>
        </w:rPr>
        <w:t xml:space="preserve"> or were entitled to attend meetings (</w:t>
      </w:r>
      <w:proofErr w:type="spellStart"/>
      <w:r w:rsidRPr="00126B2F">
        <w:rPr>
          <w:rFonts w:cs="Times New Roman"/>
          <w:color w:val="000000"/>
          <w:sz w:val="24"/>
          <w:szCs w:val="24"/>
        </w:rPr>
        <w:t>Weale</w:t>
      </w:r>
      <w:proofErr w:type="spellEnd"/>
      <w:r w:rsidRPr="00126B2F">
        <w:rPr>
          <w:rFonts w:cs="Times New Roman"/>
          <w:color w:val="000000"/>
          <w:sz w:val="24"/>
          <w:szCs w:val="24"/>
        </w:rPr>
        <w:t xml:space="preserve">, 2018). A voluntary code agreed by the Committee of University Chairs [of councils] in 2018 (CUC, 2018) </w:t>
      </w:r>
      <w:r w:rsidR="00F7771F">
        <w:rPr>
          <w:rFonts w:cs="Times New Roman"/>
          <w:color w:val="000000"/>
          <w:sz w:val="24"/>
          <w:szCs w:val="24"/>
        </w:rPr>
        <w:t xml:space="preserve">had </w:t>
      </w:r>
      <w:r w:rsidRPr="00126B2F">
        <w:rPr>
          <w:rFonts w:cs="Times New Roman"/>
          <w:color w:val="000000"/>
          <w:sz w:val="24"/>
          <w:szCs w:val="24"/>
        </w:rPr>
        <w:t xml:space="preserve">declared it inappropriate for VCs to be members of their remuneration committees but that they could attend providing they were not present when their own salary was discussed. By 2019, some 81% of UK universities still allowed their VC to attend remuneration committee meetings and nine still allowed the VC to vote (down from 66 the previous year) (Adams, 2019). </w:t>
      </w:r>
    </w:p>
    <w:p w14:paraId="2D9B742D" w14:textId="77777777" w:rsidR="00F7771F" w:rsidRPr="00F7771F" w:rsidRDefault="00F7771F" w:rsidP="00F7771F">
      <w:pPr>
        <w:spacing w:after="0" w:line="360" w:lineRule="auto"/>
        <w:rPr>
          <w:rFonts w:cs="Times New Roman"/>
          <w:color w:val="000000"/>
          <w:sz w:val="24"/>
          <w:szCs w:val="24"/>
        </w:rPr>
      </w:pPr>
    </w:p>
    <w:p w14:paraId="6392517D" w14:textId="24112258" w:rsidR="004712B0" w:rsidRPr="00126B2F" w:rsidRDefault="004E125E" w:rsidP="00F7771F">
      <w:pPr>
        <w:spacing w:after="0" w:line="360" w:lineRule="auto"/>
        <w:rPr>
          <w:rFonts w:cs="Times New Roman"/>
          <w:color w:val="000000"/>
          <w:sz w:val="24"/>
          <w:szCs w:val="24"/>
        </w:rPr>
      </w:pPr>
      <w:bookmarkStart w:id="2" w:name="_Hlk38354178"/>
      <w:r w:rsidRPr="00126B2F">
        <w:rPr>
          <w:rFonts w:cs="Times New Roman"/>
          <w:b/>
          <w:sz w:val="24"/>
          <w:szCs w:val="24"/>
        </w:rPr>
        <w:t>D</w:t>
      </w:r>
      <w:r w:rsidR="009C434E" w:rsidRPr="00126B2F">
        <w:rPr>
          <w:rFonts w:cs="Times New Roman"/>
          <w:b/>
          <w:sz w:val="24"/>
          <w:szCs w:val="24"/>
        </w:rPr>
        <w:t>iscussion</w:t>
      </w:r>
      <w:r w:rsidR="003E20E8" w:rsidRPr="00126B2F">
        <w:rPr>
          <w:rFonts w:cs="Times New Roman"/>
          <w:b/>
          <w:sz w:val="24"/>
          <w:szCs w:val="24"/>
        </w:rPr>
        <w:t xml:space="preserve"> and conclusion</w:t>
      </w:r>
    </w:p>
    <w:p w14:paraId="3AA9A2F3" w14:textId="5FA86D5B" w:rsidR="00AD045A" w:rsidRPr="00126B2F" w:rsidRDefault="009A0D0E" w:rsidP="00F7771F">
      <w:pPr>
        <w:spacing w:after="0" w:line="360" w:lineRule="auto"/>
        <w:rPr>
          <w:rFonts w:cs="Times New Roman"/>
          <w:color w:val="000000"/>
          <w:sz w:val="24"/>
          <w:szCs w:val="24"/>
        </w:rPr>
      </w:pPr>
      <w:r w:rsidRPr="00126B2F">
        <w:rPr>
          <w:rFonts w:cs="Times New Roman"/>
          <w:color w:val="000000"/>
          <w:sz w:val="24"/>
          <w:szCs w:val="24"/>
        </w:rPr>
        <w:t xml:space="preserve">The shift in </w:t>
      </w:r>
      <w:r w:rsidR="00E66C80" w:rsidRPr="00126B2F">
        <w:rPr>
          <w:rFonts w:cs="Times New Roman"/>
          <w:color w:val="000000"/>
          <w:sz w:val="24"/>
          <w:szCs w:val="24"/>
        </w:rPr>
        <w:t xml:space="preserve">UK and Australian </w:t>
      </w:r>
      <w:r w:rsidR="00E930E4" w:rsidRPr="00126B2F">
        <w:rPr>
          <w:rFonts w:cs="Times New Roman"/>
          <w:color w:val="000000"/>
          <w:sz w:val="24"/>
          <w:szCs w:val="24"/>
        </w:rPr>
        <w:t xml:space="preserve">universities </w:t>
      </w:r>
      <w:r w:rsidR="00E66C80" w:rsidRPr="00126B2F">
        <w:rPr>
          <w:rFonts w:cs="Times New Roman"/>
          <w:color w:val="000000"/>
          <w:sz w:val="24"/>
          <w:szCs w:val="24"/>
        </w:rPr>
        <w:t>from collegial to more corporate forms</w:t>
      </w:r>
      <w:r w:rsidR="009C434E" w:rsidRPr="00126B2F">
        <w:rPr>
          <w:rFonts w:cs="Times New Roman"/>
          <w:color w:val="000000"/>
          <w:sz w:val="24"/>
          <w:szCs w:val="24"/>
        </w:rPr>
        <w:t xml:space="preserve"> </w:t>
      </w:r>
      <w:r w:rsidR="007D7D29">
        <w:rPr>
          <w:rFonts w:cs="Times New Roman"/>
          <w:color w:val="000000"/>
          <w:sz w:val="24"/>
          <w:szCs w:val="24"/>
        </w:rPr>
        <w:t xml:space="preserve">of operating </w:t>
      </w:r>
      <w:r w:rsidR="009C434E" w:rsidRPr="00126B2F">
        <w:rPr>
          <w:rFonts w:cs="Times New Roman"/>
          <w:color w:val="000000"/>
          <w:sz w:val="24"/>
          <w:szCs w:val="24"/>
        </w:rPr>
        <w:t xml:space="preserve">has </w:t>
      </w:r>
      <w:r w:rsidR="00435193" w:rsidRPr="00126B2F">
        <w:rPr>
          <w:rFonts w:cs="Times New Roman"/>
          <w:color w:val="000000"/>
          <w:sz w:val="24"/>
          <w:szCs w:val="24"/>
        </w:rPr>
        <w:t xml:space="preserve">engendered a </w:t>
      </w:r>
      <w:r w:rsidR="00742C7F" w:rsidRPr="00126B2F">
        <w:rPr>
          <w:rFonts w:cs="Times New Roman"/>
          <w:color w:val="000000"/>
          <w:sz w:val="24"/>
          <w:szCs w:val="24"/>
        </w:rPr>
        <w:t xml:space="preserve">corresponding </w:t>
      </w:r>
      <w:r w:rsidR="009C434E" w:rsidRPr="00126B2F">
        <w:rPr>
          <w:rFonts w:cs="Times New Roman"/>
          <w:color w:val="000000"/>
          <w:sz w:val="24"/>
          <w:szCs w:val="24"/>
        </w:rPr>
        <w:t xml:space="preserve">shift </w:t>
      </w:r>
      <w:r w:rsidR="007D7D29">
        <w:rPr>
          <w:rFonts w:cs="Times New Roman"/>
          <w:color w:val="000000"/>
          <w:sz w:val="24"/>
          <w:szCs w:val="24"/>
        </w:rPr>
        <w:t xml:space="preserve">in governance </w:t>
      </w:r>
      <w:r w:rsidR="00EE77CF" w:rsidRPr="00126B2F">
        <w:rPr>
          <w:rFonts w:cs="Times New Roman"/>
          <w:color w:val="000000"/>
          <w:sz w:val="24"/>
          <w:szCs w:val="24"/>
        </w:rPr>
        <w:t xml:space="preserve">from stewardship to agency. </w:t>
      </w:r>
      <w:r w:rsidR="00CF01BD" w:rsidRPr="00126B2F">
        <w:rPr>
          <w:rFonts w:cs="Times New Roman"/>
          <w:color w:val="000000"/>
          <w:sz w:val="24"/>
          <w:szCs w:val="24"/>
        </w:rPr>
        <w:t>P</w:t>
      </w:r>
      <w:r w:rsidR="009C434E" w:rsidRPr="00126B2F">
        <w:rPr>
          <w:rFonts w:cs="Times New Roman"/>
          <w:color w:val="000000"/>
          <w:sz w:val="24"/>
          <w:szCs w:val="24"/>
        </w:rPr>
        <w:t xml:space="preserve">rofessional management functions have come to the fore in the pursuit of business </w:t>
      </w:r>
      <w:r w:rsidRPr="00126B2F">
        <w:rPr>
          <w:rFonts w:cs="Times New Roman"/>
          <w:color w:val="000000"/>
          <w:sz w:val="24"/>
          <w:szCs w:val="24"/>
        </w:rPr>
        <w:t>objectives</w:t>
      </w:r>
      <w:r w:rsidR="00CF01BD" w:rsidRPr="00126B2F">
        <w:rPr>
          <w:rFonts w:cs="Times New Roman"/>
          <w:color w:val="000000"/>
          <w:sz w:val="24"/>
          <w:szCs w:val="24"/>
        </w:rPr>
        <w:t xml:space="preserve"> and </w:t>
      </w:r>
      <w:r w:rsidR="009C434E" w:rsidRPr="00126B2F">
        <w:rPr>
          <w:rFonts w:cs="Times New Roman"/>
          <w:color w:val="000000"/>
          <w:sz w:val="24"/>
          <w:szCs w:val="24"/>
        </w:rPr>
        <w:t xml:space="preserve">VCs </w:t>
      </w:r>
      <w:r w:rsidR="00742C7F" w:rsidRPr="00126B2F">
        <w:rPr>
          <w:rFonts w:cs="Times New Roman"/>
          <w:color w:val="000000"/>
          <w:sz w:val="24"/>
          <w:szCs w:val="24"/>
        </w:rPr>
        <w:t xml:space="preserve">both see themselves and are seen by others, including governments and government agencies, as </w:t>
      </w:r>
      <w:r w:rsidR="009C434E" w:rsidRPr="00126B2F">
        <w:rPr>
          <w:rFonts w:cs="Times New Roman"/>
          <w:color w:val="000000"/>
          <w:sz w:val="24"/>
          <w:szCs w:val="24"/>
        </w:rPr>
        <w:t xml:space="preserve">chief executive officers. </w:t>
      </w:r>
      <w:r w:rsidR="00DC5AAA" w:rsidRPr="00126B2F">
        <w:rPr>
          <w:rFonts w:cs="Times New Roman"/>
          <w:color w:val="000000"/>
          <w:sz w:val="24"/>
          <w:szCs w:val="24"/>
        </w:rPr>
        <w:t>A</w:t>
      </w:r>
      <w:r w:rsidR="00AD045A" w:rsidRPr="00126B2F">
        <w:rPr>
          <w:rFonts w:cs="Times New Roman"/>
          <w:color w:val="000000"/>
          <w:sz w:val="24"/>
          <w:szCs w:val="24"/>
        </w:rPr>
        <w:t xml:space="preserve"> significant uptick in VCs’ remuneration has occurred relative to other academic salaries. Market-based salary setting mechanisms, such as benchmarking, appear to drive these increases.</w:t>
      </w:r>
    </w:p>
    <w:p w14:paraId="76211356" w14:textId="77777777" w:rsidR="00AD045A" w:rsidRPr="00126B2F" w:rsidRDefault="00AD045A" w:rsidP="00F7771F">
      <w:pPr>
        <w:spacing w:after="0" w:line="360" w:lineRule="auto"/>
        <w:rPr>
          <w:rFonts w:cs="Times New Roman"/>
          <w:color w:val="000000"/>
          <w:sz w:val="24"/>
          <w:szCs w:val="24"/>
        </w:rPr>
      </w:pPr>
    </w:p>
    <w:p w14:paraId="20AA80B3" w14:textId="116C9F49" w:rsidR="00A675D7" w:rsidRPr="00126B2F" w:rsidRDefault="00AD045A" w:rsidP="00F7771F">
      <w:pPr>
        <w:spacing w:after="0" w:line="360" w:lineRule="auto"/>
        <w:rPr>
          <w:rFonts w:cs="Times New Roman"/>
          <w:color w:val="000000"/>
          <w:sz w:val="24"/>
          <w:szCs w:val="24"/>
        </w:rPr>
      </w:pPr>
      <w:r w:rsidRPr="00126B2F">
        <w:rPr>
          <w:rFonts w:cs="Times New Roman"/>
          <w:color w:val="000000"/>
          <w:sz w:val="24"/>
          <w:szCs w:val="24"/>
        </w:rPr>
        <w:t xml:space="preserve">VCs and their representative bodies consistently justify </w:t>
      </w:r>
      <w:r w:rsidR="007D7D29">
        <w:rPr>
          <w:rFonts w:cs="Times New Roman"/>
          <w:color w:val="000000"/>
          <w:sz w:val="24"/>
          <w:szCs w:val="24"/>
        </w:rPr>
        <w:t>this</w:t>
      </w:r>
      <w:r w:rsidRPr="00126B2F">
        <w:rPr>
          <w:rFonts w:cs="Times New Roman"/>
          <w:color w:val="000000"/>
          <w:sz w:val="24"/>
          <w:szCs w:val="24"/>
        </w:rPr>
        <w:t xml:space="preserve"> increased </w:t>
      </w:r>
      <w:r w:rsidR="007D7D29">
        <w:rPr>
          <w:rFonts w:cs="Times New Roman"/>
          <w:color w:val="000000"/>
          <w:sz w:val="24"/>
          <w:szCs w:val="24"/>
        </w:rPr>
        <w:t xml:space="preserve">remuneration </w:t>
      </w:r>
      <w:r w:rsidRPr="00126B2F">
        <w:rPr>
          <w:rFonts w:cs="Times New Roman"/>
          <w:color w:val="000000"/>
          <w:sz w:val="24"/>
          <w:szCs w:val="24"/>
        </w:rPr>
        <w:t xml:space="preserve">with agency rhetoric, arguing that </w:t>
      </w:r>
      <w:r w:rsidR="007D7D29">
        <w:rPr>
          <w:rFonts w:cs="Times New Roman"/>
          <w:color w:val="000000"/>
          <w:sz w:val="24"/>
          <w:szCs w:val="24"/>
        </w:rPr>
        <w:t>it</w:t>
      </w:r>
      <w:r w:rsidRPr="00126B2F">
        <w:rPr>
          <w:rFonts w:cs="Times New Roman"/>
          <w:color w:val="000000"/>
          <w:sz w:val="24"/>
          <w:szCs w:val="24"/>
        </w:rPr>
        <w:t xml:space="preserve"> reflects their </w:t>
      </w:r>
      <w:r w:rsidR="00AF5917">
        <w:rPr>
          <w:rFonts w:cs="Times New Roman"/>
          <w:color w:val="000000"/>
          <w:sz w:val="24"/>
          <w:szCs w:val="24"/>
        </w:rPr>
        <w:t xml:space="preserve">appropriate </w:t>
      </w:r>
      <w:r w:rsidRPr="00126B2F">
        <w:rPr>
          <w:rFonts w:cs="Times New Roman"/>
          <w:color w:val="000000"/>
          <w:sz w:val="24"/>
          <w:szCs w:val="24"/>
        </w:rPr>
        <w:t xml:space="preserve">share of university performance improvements. </w:t>
      </w:r>
      <w:r w:rsidR="00742C7F" w:rsidRPr="00126B2F">
        <w:rPr>
          <w:rFonts w:cs="Times New Roman"/>
          <w:color w:val="000000"/>
          <w:sz w:val="24"/>
          <w:szCs w:val="24"/>
        </w:rPr>
        <w:t>However</w:t>
      </w:r>
      <w:r w:rsidR="00111865" w:rsidRPr="00126B2F">
        <w:rPr>
          <w:rFonts w:cs="Times New Roman"/>
          <w:color w:val="000000"/>
          <w:sz w:val="24"/>
          <w:szCs w:val="24"/>
        </w:rPr>
        <w:t xml:space="preserve">, independent academic analyses have consistently found no convincing evidence of a relationship between VC </w:t>
      </w:r>
      <w:r w:rsidR="00E960D7">
        <w:rPr>
          <w:rFonts w:cs="Times New Roman"/>
          <w:color w:val="000000"/>
          <w:sz w:val="24"/>
          <w:szCs w:val="24"/>
        </w:rPr>
        <w:t>remuneration</w:t>
      </w:r>
      <w:r w:rsidR="00E960D7" w:rsidRPr="00126B2F">
        <w:rPr>
          <w:rFonts w:cs="Times New Roman"/>
          <w:color w:val="000000"/>
          <w:sz w:val="24"/>
          <w:szCs w:val="24"/>
        </w:rPr>
        <w:t xml:space="preserve"> </w:t>
      </w:r>
      <w:r w:rsidR="00111865" w:rsidRPr="00126B2F">
        <w:rPr>
          <w:rFonts w:cs="Times New Roman"/>
          <w:color w:val="000000"/>
          <w:sz w:val="24"/>
          <w:szCs w:val="24"/>
        </w:rPr>
        <w:t xml:space="preserve">and performance and that the very significant increases since the 1990s are more likely to be the result of benchmarking in a case of </w:t>
      </w:r>
      <w:r w:rsidR="00111865" w:rsidRPr="00126B2F">
        <w:rPr>
          <w:rFonts w:cs="Times New Roman"/>
          <w:sz w:val="24"/>
          <w:szCs w:val="24"/>
          <w:lang w:val="en-AU"/>
        </w:rPr>
        <w:t>‘</w:t>
      </w:r>
      <w:r w:rsidR="007D7D29">
        <w:rPr>
          <w:rFonts w:cs="Times New Roman"/>
          <w:sz w:val="24"/>
          <w:szCs w:val="24"/>
          <w:lang w:val="en-AU"/>
        </w:rPr>
        <w:t>[k]</w:t>
      </w:r>
      <w:proofErr w:type="spellStart"/>
      <w:r w:rsidR="00111865" w:rsidRPr="00126B2F">
        <w:rPr>
          <w:rFonts w:cs="Times New Roman"/>
          <w:sz w:val="24"/>
          <w:szCs w:val="24"/>
          <w:lang w:val="en-AU"/>
        </w:rPr>
        <w:t>eeping</w:t>
      </w:r>
      <w:proofErr w:type="spellEnd"/>
      <w:r w:rsidR="00111865" w:rsidRPr="00126B2F">
        <w:rPr>
          <w:rFonts w:cs="Times New Roman"/>
          <w:sz w:val="24"/>
          <w:szCs w:val="24"/>
          <w:lang w:val="en-AU"/>
        </w:rPr>
        <w:t xml:space="preserve"> up with VC Jones’ (</w:t>
      </w:r>
      <w:proofErr w:type="spellStart"/>
      <w:r w:rsidR="00111865" w:rsidRPr="00126B2F">
        <w:rPr>
          <w:rFonts w:cs="Times New Roman"/>
          <w:sz w:val="24"/>
          <w:szCs w:val="24"/>
        </w:rPr>
        <w:t>Gschwandtner</w:t>
      </w:r>
      <w:proofErr w:type="spellEnd"/>
      <w:r w:rsidR="00111865" w:rsidRPr="00126B2F">
        <w:rPr>
          <w:rFonts w:cs="Times New Roman"/>
          <w:sz w:val="24"/>
          <w:szCs w:val="24"/>
        </w:rPr>
        <w:t xml:space="preserve"> &amp; McManus 2018, p. 1).</w:t>
      </w:r>
      <w:r w:rsidR="00A675D7" w:rsidRPr="00126B2F">
        <w:rPr>
          <w:rFonts w:cs="Times New Roman"/>
          <w:sz w:val="24"/>
          <w:szCs w:val="24"/>
        </w:rPr>
        <w:t xml:space="preserve"> Benchmarking </w:t>
      </w:r>
      <w:r w:rsidR="007D7D29">
        <w:rPr>
          <w:rFonts w:cs="Times New Roman"/>
          <w:sz w:val="24"/>
          <w:szCs w:val="24"/>
        </w:rPr>
        <w:t xml:space="preserve">therefore </w:t>
      </w:r>
      <w:r w:rsidR="00A675D7" w:rsidRPr="00126B2F">
        <w:rPr>
          <w:rFonts w:cs="Times New Roman"/>
          <w:sz w:val="24"/>
          <w:szCs w:val="24"/>
        </w:rPr>
        <w:t>cast</w:t>
      </w:r>
      <w:r w:rsidR="007D7D29">
        <w:rPr>
          <w:rFonts w:cs="Times New Roman"/>
          <w:sz w:val="24"/>
          <w:szCs w:val="24"/>
        </w:rPr>
        <w:t>s</w:t>
      </w:r>
      <w:r w:rsidR="00A675D7" w:rsidRPr="00126B2F">
        <w:rPr>
          <w:rFonts w:cs="Times New Roman"/>
          <w:sz w:val="24"/>
          <w:szCs w:val="24"/>
        </w:rPr>
        <w:t xml:space="preserve"> an aura of market-based objectivity, but is essentially self-fulfilling (</w:t>
      </w:r>
      <w:proofErr w:type="spellStart"/>
      <w:r w:rsidR="00A675D7" w:rsidRPr="00126B2F">
        <w:rPr>
          <w:rFonts w:cs="Times New Roman"/>
          <w:sz w:val="24"/>
          <w:szCs w:val="24"/>
        </w:rPr>
        <w:t>Essaji</w:t>
      </w:r>
      <w:proofErr w:type="spellEnd"/>
      <w:r w:rsidR="00A675D7" w:rsidRPr="00126B2F">
        <w:rPr>
          <w:rFonts w:cs="Times New Roman"/>
          <w:sz w:val="24"/>
          <w:szCs w:val="24"/>
        </w:rPr>
        <w:t xml:space="preserve"> &amp; Horton, 2009).</w:t>
      </w:r>
    </w:p>
    <w:p w14:paraId="15D58A05" w14:textId="481829DE" w:rsidR="00111865" w:rsidRPr="00126B2F" w:rsidRDefault="00111865" w:rsidP="00F7771F">
      <w:pPr>
        <w:spacing w:after="0" w:line="360" w:lineRule="auto"/>
        <w:rPr>
          <w:rFonts w:cs="Times New Roman"/>
          <w:color w:val="000000"/>
          <w:sz w:val="24"/>
          <w:szCs w:val="24"/>
        </w:rPr>
      </w:pPr>
    </w:p>
    <w:p w14:paraId="6865F37D" w14:textId="7E7E35E2" w:rsidR="00A414B4" w:rsidRDefault="00DC5AAA" w:rsidP="00F7771F">
      <w:pPr>
        <w:spacing w:after="0" w:line="360" w:lineRule="auto"/>
        <w:rPr>
          <w:rFonts w:cs="Times New Roman"/>
          <w:color w:val="000000"/>
          <w:sz w:val="24"/>
          <w:szCs w:val="24"/>
        </w:rPr>
      </w:pPr>
      <w:r w:rsidRPr="00126B2F">
        <w:rPr>
          <w:rFonts w:cs="Times New Roman"/>
          <w:color w:val="000000"/>
          <w:sz w:val="24"/>
          <w:szCs w:val="24"/>
        </w:rPr>
        <w:lastRenderedPageBreak/>
        <w:t>In agency terms, we argue that t</w:t>
      </w:r>
      <w:r w:rsidR="00AD045A" w:rsidRPr="00126B2F">
        <w:rPr>
          <w:rFonts w:cs="Times New Roman"/>
          <w:color w:val="000000"/>
          <w:sz w:val="24"/>
          <w:szCs w:val="24"/>
        </w:rPr>
        <w:t>his apparent over-c</w:t>
      </w:r>
      <w:r w:rsidR="00A414B4" w:rsidRPr="00126B2F">
        <w:rPr>
          <w:rFonts w:cs="Times New Roman"/>
          <w:color w:val="000000"/>
          <w:sz w:val="24"/>
          <w:szCs w:val="24"/>
        </w:rPr>
        <w:t>o</w:t>
      </w:r>
      <w:r w:rsidR="00AD045A" w:rsidRPr="00126B2F">
        <w:rPr>
          <w:rFonts w:cs="Times New Roman"/>
          <w:color w:val="000000"/>
          <w:sz w:val="24"/>
          <w:szCs w:val="24"/>
        </w:rPr>
        <w:t xml:space="preserve">mpensation </w:t>
      </w:r>
      <w:r w:rsidRPr="00126B2F">
        <w:rPr>
          <w:rFonts w:cs="Times New Roman"/>
          <w:color w:val="000000"/>
          <w:sz w:val="24"/>
          <w:szCs w:val="24"/>
        </w:rPr>
        <w:t>of</w:t>
      </w:r>
      <w:r w:rsidR="00AD045A" w:rsidRPr="00126B2F">
        <w:rPr>
          <w:rFonts w:cs="Times New Roman"/>
          <w:color w:val="000000"/>
          <w:sz w:val="24"/>
          <w:szCs w:val="24"/>
        </w:rPr>
        <w:t xml:space="preserve"> VCs has two root causes. </w:t>
      </w:r>
      <w:r w:rsidR="00A414B4" w:rsidRPr="00126B2F">
        <w:rPr>
          <w:rFonts w:cs="Times New Roman"/>
          <w:color w:val="000000"/>
          <w:sz w:val="24"/>
          <w:szCs w:val="24"/>
        </w:rPr>
        <w:t xml:space="preserve">The first relates to principals. </w:t>
      </w:r>
      <w:r w:rsidR="00111865" w:rsidRPr="00126B2F">
        <w:rPr>
          <w:rFonts w:cs="Times New Roman"/>
          <w:color w:val="000000"/>
          <w:sz w:val="24"/>
          <w:szCs w:val="24"/>
        </w:rPr>
        <w:t>University c</w:t>
      </w:r>
      <w:r w:rsidR="00A414B4" w:rsidRPr="00126B2F">
        <w:rPr>
          <w:rFonts w:cs="Times New Roman"/>
          <w:color w:val="000000"/>
          <w:sz w:val="24"/>
          <w:szCs w:val="24"/>
        </w:rPr>
        <w:t>o</w:t>
      </w:r>
      <w:r w:rsidR="009C434E" w:rsidRPr="00126B2F">
        <w:rPr>
          <w:rFonts w:cs="Times New Roman"/>
          <w:color w:val="000000"/>
          <w:sz w:val="24"/>
          <w:szCs w:val="24"/>
        </w:rPr>
        <w:t xml:space="preserve">uncils </w:t>
      </w:r>
      <w:r w:rsidR="009A0D0E" w:rsidRPr="00126B2F">
        <w:rPr>
          <w:rFonts w:cs="Times New Roman"/>
          <w:color w:val="000000"/>
          <w:sz w:val="24"/>
          <w:szCs w:val="24"/>
        </w:rPr>
        <w:t xml:space="preserve">are </w:t>
      </w:r>
      <w:r w:rsidR="002077A3" w:rsidRPr="00126B2F">
        <w:rPr>
          <w:rFonts w:cs="Times New Roman"/>
          <w:color w:val="000000"/>
          <w:sz w:val="24"/>
          <w:szCs w:val="24"/>
        </w:rPr>
        <w:t xml:space="preserve">de jure </w:t>
      </w:r>
      <w:r w:rsidR="00CF01BD" w:rsidRPr="00126B2F">
        <w:rPr>
          <w:rFonts w:cs="Times New Roman"/>
          <w:color w:val="000000"/>
          <w:sz w:val="24"/>
          <w:szCs w:val="24"/>
        </w:rPr>
        <w:t xml:space="preserve">endogenous </w:t>
      </w:r>
      <w:r w:rsidR="002077A3" w:rsidRPr="00126B2F">
        <w:rPr>
          <w:rFonts w:cs="Times New Roman"/>
          <w:color w:val="000000"/>
          <w:sz w:val="24"/>
          <w:szCs w:val="24"/>
        </w:rPr>
        <w:t xml:space="preserve">principals, but are </w:t>
      </w:r>
      <w:r w:rsidR="009C434E" w:rsidRPr="00126B2F">
        <w:rPr>
          <w:rFonts w:cs="Times New Roman"/>
          <w:color w:val="000000"/>
          <w:sz w:val="24"/>
          <w:szCs w:val="24"/>
        </w:rPr>
        <w:t xml:space="preserve">weak </w:t>
      </w:r>
      <w:r w:rsidR="002077A3" w:rsidRPr="00126B2F">
        <w:rPr>
          <w:rFonts w:cs="Times New Roman"/>
          <w:color w:val="000000"/>
          <w:sz w:val="24"/>
          <w:szCs w:val="24"/>
        </w:rPr>
        <w:t xml:space="preserve">in agency terms </w:t>
      </w:r>
      <w:r w:rsidR="009C434E" w:rsidRPr="00126B2F">
        <w:rPr>
          <w:rFonts w:cs="Times New Roman"/>
          <w:color w:val="000000"/>
          <w:sz w:val="24"/>
          <w:szCs w:val="24"/>
        </w:rPr>
        <w:t xml:space="preserve">because they are not </w:t>
      </w:r>
      <w:r w:rsidR="002077A3" w:rsidRPr="00126B2F">
        <w:rPr>
          <w:rFonts w:cs="Times New Roman"/>
          <w:color w:val="000000"/>
          <w:sz w:val="24"/>
          <w:szCs w:val="24"/>
        </w:rPr>
        <w:t xml:space="preserve">legal </w:t>
      </w:r>
      <w:r w:rsidR="009C434E" w:rsidRPr="00126B2F">
        <w:rPr>
          <w:rFonts w:cs="Times New Roman"/>
          <w:color w:val="000000"/>
          <w:sz w:val="24"/>
          <w:szCs w:val="24"/>
        </w:rPr>
        <w:t>owners</w:t>
      </w:r>
      <w:r w:rsidR="002077A3" w:rsidRPr="00126B2F">
        <w:rPr>
          <w:rFonts w:cs="Times New Roman"/>
          <w:color w:val="000000"/>
          <w:sz w:val="24"/>
          <w:szCs w:val="24"/>
        </w:rPr>
        <w:t xml:space="preserve">, </w:t>
      </w:r>
      <w:r w:rsidR="009C434E" w:rsidRPr="00126B2F">
        <w:rPr>
          <w:rFonts w:cs="Times New Roman"/>
          <w:color w:val="000000"/>
          <w:sz w:val="24"/>
          <w:szCs w:val="24"/>
        </w:rPr>
        <w:t>are financially disinterested</w:t>
      </w:r>
      <w:r w:rsidR="00111865" w:rsidRPr="00126B2F">
        <w:rPr>
          <w:rFonts w:cs="Times New Roman"/>
          <w:color w:val="000000"/>
          <w:sz w:val="24"/>
          <w:szCs w:val="24"/>
        </w:rPr>
        <w:t xml:space="preserve"> (i.e. they are not shareholders)</w:t>
      </w:r>
      <w:r w:rsidR="009C434E" w:rsidRPr="00126B2F">
        <w:rPr>
          <w:rFonts w:cs="Times New Roman"/>
          <w:color w:val="000000"/>
          <w:sz w:val="24"/>
          <w:szCs w:val="24"/>
        </w:rPr>
        <w:t xml:space="preserve">, and </w:t>
      </w:r>
      <w:r w:rsidR="002077A3" w:rsidRPr="00126B2F">
        <w:rPr>
          <w:rFonts w:cs="Times New Roman"/>
          <w:color w:val="000000"/>
          <w:sz w:val="24"/>
          <w:szCs w:val="24"/>
        </w:rPr>
        <w:t xml:space="preserve">have empowered </w:t>
      </w:r>
      <w:r w:rsidR="009C434E" w:rsidRPr="00126B2F">
        <w:rPr>
          <w:rFonts w:cs="Times New Roman"/>
          <w:color w:val="000000"/>
          <w:sz w:val="24"/>
          <w:szCs w:val="24"/>
        </w:rPr>
        <w:t>VCs to act entrepreneuriall</w:t>
      </w:r>
      <w:r w:rsidR="009A0D0E" w:rsidRPr="00126B2F">
        <w:rPr>
          <w:rFonts w:cs="Times New Roman"/>
          <w:color w:val="000000"/>
          <w:sz w:val="24"/>
          <w:szCs w:val="24"/>
        </w:rPr>
        <w:t>y</w:t>
      </w:r>
      <w:r w:rsidR="009C434E" w:rsidRPr="00126B2F">
        <w:rPr>
          <w:rFonts w:cs="Times New Roman"/>
          <w:color w:val="000000"/>
          <w:sz w:val="24"/>
          <w:szCs w:val="24"/>
        </w:rPr>
        <w:t xml:space="preserve">. </w:t>
      </w:r>
      <w:r w:rsidR="00A414B4" w:rsidRPr="00126B2F">
        <w:rPr>
          <w:rFonts w:cs="Times New Roman"/>
          <w:color w:val="000000"/>
          <w:sz w:val="24"/>
          <w:szCs w:val="24"/>
        </w:rPr>
        <w:t xml:space="preserve">University councils, which appoint remuneration committees, may </w:t>
      </w:r>
      <w:r w:rsidR="007D7D29">
        <w:rPr>
          <w:rFonts w:cs="Times New Roman"/>
          <w:color w:val="000000"/>
          <w:sz w:val="24"/>
          <w:szCs w:val="24"/>
        </w:rPr>
        <w:t xml:space="preserve">therefore </w:t>
      </w:r>
      <w:r w:rsidR="00A414B4" w:rsidRPr="00126B2F">
        <w:rPr>
          <w:rFonts w:cs="Times New Roman"/>
          <w:color w:val="000000"/>
          <w:sz w:val="24"/>
          <w:szCs w:val="24"/>
        </w:rPr>
        <w:t xml:space="preserve">be insufficiently powerful or </w:t>
      </w:r>
      <w:r w:rsidR="007D7D29">
        <w:rPr>
          <w:rFonts w:cs="Times New Roman"/>
          <w:color w:val="000000"/>
          <w:sz w:val="24"/>
          <w:szCs w:val="24"/>
        </w:rPr>
        <w:t xml:space="preserve">insufficiently </w:t>
      </w:r>
      <w:r w:rsidR="00A414B4" w:rsidRPr="00126B2F">
        <w:rPr>
          <w:rFonts w:cs="Times New Roman"/>
          <w:color w:val="000000"/>
          <w:sz w:val="24"/>
          <w:szCs w:val="24"/>
        </w:rPr>
        <w:t>self-interested as principals to control the process</w:t>
      </w:r>
      <w:r w:rsidR="007D7D29">
        <w:rPr>
          <w:rFonts w:cs="Times New Roman"/>
          <w:color w:val="000000"/>
          <w:sz w:val="24"/>
          <w:szCs w:val="24"/>
        </w:rPr>
        <w:t xml:space="preserve"> adequately</w:t>
      </w:r>
      <w:r w:rsidR="00A414B4" w:rsidRPr="00126B2F">
        <w:rPr>
          <w:rFonts w:cs="Times New Roman"/>
          <w:color w:val="000000"/>
          <w:sz w:val="24"/>
          <w:szCs w:val="24"/>
        </w:rPr>
        <w:t>. At the UK’s University of Bath, for instance, the council has been criticised for being too cosy</w:t>
      </w:r>
      <w:r w:rsidR="007D7D29">
        <w:rPr>
          <w:rFonts w:cs="Times New Roman"/>
          <w:color w:val="000000"/>
          <w:sz w:val="24"/>
          <w:szCs w:val="24"/>
        </w:rPr>
        <w:t xml:space="preserve"> and </w:t>
      </w:r>
      <w:r w:rsidR="00A414B4" w:rsidRPr="00126B2F">
        <w:rPr>
          <w:rFonts w:cs="Times New Roman"/>
          <w:color w:val="000000"/>
          <w:sz w:val="24"/>
          <w:szCs w:val="24"/>
        </w:rPr>
        <w:t>too socially aligned, with the VC</w:t>
      </w:r>
      <w:r w:rsidR="007D7D29">
        <w:rPr>
          <w:rFonts w:cs="Times New Roman"/>
          <w:color w:val="000000"/>
          <w:sz w:val="24"/>
          <w:szCs w:val="24"/>
        </w:rPr>
        <w:t>:</w:t>
      </w:r>
    </w:p>
    <w:p w14:paraId="3B8F1C2F" w14:textId="77777777" w:rsidR="007D7D29" w:rsidRPr="00126B2F" w:rsidRDefault="007D7D29" w:rsidP="00F7771F">
      <w:pPr>
        <w:spacing w:after="0" w:line="360" w:lineRule="auto"/>
        <w:rPr>
          <w:rFonts w:cs="Times New Roman"/>
          <w:color w:val="000000"/>
          <w:sz w:val="24"/>
          <w:szCs w:val="24"/>
        </w:rPr>
      </w:pPr>
    </w:p>
    <w:p w14:paraId="36331352" w14:textId="0F276C05" w:rsidR="00A414B4" w:rsidRDefault="00A414B4" w:rsidP="00F7771F">
      <w:pPr>
        <w:spacing w:after="0" w:line="360" w:lineRule="auto"/>
        <w:ind w:left="720"/>
        <w:rPr>
          <w:rFonts w:cs="Times New Roman"/>
          <w:sz w:val="24"/>
          <w:szCs w:val="24"/>
        </w:rPr>
      </w:pPr>
      <w:r w:rsidRPr="00126B2F">
        <w:rPr>
          <w:rFonts w:cs="Times New Roman"/>
          <w:sz w:val="24"/>
          <w:szCs w:val="24"/>
        </w:rPr>
        <w:t>There is a tendency to want to have a highly paid vice-chancellor because it shows what an important job I’m doing as a lay governor,’ says Shattock, who also believes that the inexorable rise of university leaders’ salaries is, to some extent, caused by laziness. ‘Governors do not want to go through the hassle of appointing a new vice-chancellor, so they make sure they give [the existing one] a little more each year</w:t>
      </w:r>
      <w:r w:rsidR="007D7D29">
        <w:rPr>
          <w:rFonts w:cs="Times New Roman"/>
          <w:sz w:val="24"/>
          <w:szCs w:val="24"/>
        </w:rPr>
        <w:t>’</w:t>
      </w:r>
      <w:r w:rsidRPr="00126B2F">
        <w:rPr>
          <w:rFonts w:cs="Times New Roman"/>
          <w:sz w:val="24"/>
          <w:szCs w:val="24"/>
        </w:rPr>
        <w:t>. (Grove, 2018)</w:t>
      </w:r>
    </w:p>
    <w:p w14:paraId="330E80E8" w14:textId="77777777" w:rsidR="007D7D29" w:rsidRPr="00126B2F" w:rsidRDefault="007D7D29" w:rsidP="00F7771F">
      <w:pPr>
        <w:spacing w:after="0" w:line="360" w:lineRule="auto"/>
        <w:ind w:left="720"/>
        <w:rPr>
          <w:rFonts w:cs="Times New Roman"/>
          <w:sz w:val="24"/>
          <w:szCs w:val="24"/>
        </w:rPr>
      </w:pPr>
    </w:p>
    <w:p w14:paraId="48D832F0" w14:textId="6863C2A5" w:rsidR="00044C81" w:rsidRPr="00126B2F" w:rsidRDefault="00044C81" w:rsidP="00F7771F">
      <w:pPr>
        <w:spacing w:after="0" w:line="360" w:lineRule="auto"/>
        <w:rPr>
          <w:rFonts w:cs="Times New Roman"/>
          <w:color w:val="000000"/>
          <w:sz w:val="24"/>
          <w:szCs w:val="24"/>
        </w:rPr>
      </w:pPr>
      <w:r w:rsidRPr="00126B2F">
        <w:rPr>
          <w:rFonts w:cs="Times New Roman"/>
          <w:color w:val="000000"/>
          <w:sz w:val="24"/>
          <w:szCs w:val="24"/>
        </w:rPr>
        <w:t xml:space="preserve">That is, university councils are not sufficiently empowered or self-interested in the financial affairs of the university to act as </w:t>
      </w:r>
      <w:r w:rsidR="007D7D29">
        <w:rPr>
          <w:rFonts w:cs="Times New Roman"/>
          <w:color w:val="000000"/>
          <w:sz w:val="24"/>
          <w:szCs w:val="24"/>
        </w:rPr>
        <w:t xml:space="preserve">effective </w:t>
      </w:r>
      <w:r w:rsidRPr="00126B2F">
        <w:rPr>
          <w:rFonts w:cs="Times New Roman"/>
          <w:color w:val="000000"/>
          <w:sz w:val="24"/>
          <w:szCs w:val="24"/>
        </w:rPr>
        <w:t xml:space="preserve">principals—none of their actions have the potential to </w:t>
      </w:r>
      <w:r w:rsidRPr="00126B2F">
        <w:rPr>
          <w:rFonts w:cs="Times New Roman"/>
          <w:sz w:val="24"/>
          <w:szCs w:val="24"/>
        </w:rPr>
        <w:t>maximise their own financial position</w:t>
      </w:r>
      <w:r w:rsidR="00B1082E" w:rsidRPr="00126B2F">
        <w:rPr>
          <w:rStyle w:val="FootnoteReference"/>
          <w:rFonts w:cs="Times New Roman"/>
          <w:sz w:val="24"/>
          <w:szCs w:val="24"/>
        </w:rPr>
        <w:footnoteReference w:id="3"/>
      </w:r>
      <w:r w:rsidRPr="00126B2F">
        <w:rPr>
          <w:rFonts w:cs="Times New Roman"/>
          <w:sz w:val="24"/>
          <w:szCs w:val="24"/>
        </w:rPr>
        <w:t xml:space="preserve"> at the expense of vice-chancellors as agents and hence they are unable to exercise effective </w:t>
      </w:r>
      <w:r w:rsidR="00B1082E" w:rsidRPr="00126B2F">
        <w:rPr>
          <w:rFonts w:cs="Times New Roman"/>
          <w:sz w:val="24"/>
          <w:szCs w:val="24"/>
        </w:rPr>
        <w:t>control as governors</w:t>
      </w:r>
      <w:r w:rsidR="007D7D29">
        <w:rPr>
          <w:rFonts w:cs="Times New Roman"/>
          <w:sz w:val="24"/>
          <w:szCs w:val="24"/>
        </w:rPr>
        <w:t xml:space="preserve"> with respect to levels of VC remuneration</w:t>
      </w:r>
      <w:r w:rsidR="00B1082E" w:rsidRPr="00126B2F">
        <w:rPr>
          <w:rFonts w:cs="Times New Roman"/>
          <w:sz w:val="24"/>
          <w:szCs w:val="24"/>
        </w:rPr>
        <w:t>.</w:t>
      </w:r>
    </w:p>
    <w:p w14:paraId="38141C1E" w14:textId="77777777" w:rsidR="00044C81" w:rsidRPr="00126B2F" w:rsidRDefault="00044C81" w:rsidP="00F7771F">
      <w:pPr>
        <w:spacing w:after="0" w:line="360" w:lineRule="auto"/>
        <w:rPr>
          <w:rFonts w:cs="Times New Roman"/>
          <w:color w:val="000000"/>
          <w:sz w:val="24"/>
          <w:szCs w:val="24"/>
        </w:rPr>
      </w:pPr>
    </w:p>
    <w:p w14:paraId="19A1AD11" w14:textId="1715F499" w:rsidR="00497811" w:rsidRDefault="00A414B4" w:rsidP="00F7771F">
      <w:pPr>
        <w:spacing w:after="0" w:line="360" w:lineRule="auto"/>
        <w:rPr>
          <w:rFonts w:cs="Times New Roman"/>
          <w:color w:val="000000"/>
          <w:sz w:val="24"/>
          <w:szCs w:val="24"/>
        </w:rPr>
      </w:pPr>
      <w:r w:rsidRPr="00126B2F">
        <w:rPr>
          <w:rFonts w:cs="Times New Roman"/>
          <w:color w:val="000000"/>
          <w:sz w:val="24"/>
          <w:szCs w:val="24"/>
        </w:rPr>
        <w:t xml:space="preserve">Exogenously, significant public funding </w:t>
      </w:r>
      <w:r w:rsidR="00FE28D2" w:rsidRPr="00126B2F">
        <w:rPr>
          <w:rFonts w:cs="Times New Roman"/>
          <w:color w:val="000000"/>
          <w:sz w:val="24"/>
          <w:szCs w:val="24"/>
        </w:rPr>
        <w:t xml:space="preserve">to universities in both the UK and Australia </w:t>
      </w:r>
      <w:r w:rsidRPr="00126B2F">
        <w:rPr>
          <w:rFonts w:cs="Times New Roman"/>
          <w:color w:val="000000"/>
          <w:sz w:val="24"/>
          <w:szCs w:val="24"/>
        </w:rPr>
        <w:t xml:space="preserve">justifies governments acting as principals, but </w:t>
      </w:r>
      <w:r w:rsidR="00DC5AAA" w:rsidRPr="00126B2F">
        <w:rPr>
          <w:rFonts w:cs="Times New Roman"/>
          <w:color w:val="000000"/>
          <w:sz w:val="24"/>
          <w:szCs w:val="24"/>
        </w:rPr>
        <w:t xml:space="preserve">in </w:t>
      </w:r>
      <w:r w:rsidR="00FE28D2" w:rsidRPr="00126B2F">
        <w:rPr>
          <w:rFonts w:cs="Times New Roman"/>
          <w:color w:val="000000"/>
          <w:sz w:val="24"/>
          <w:szCs w:val="24"/>
        </w:rPr>
        <w:t xml:space="preserve">both </w:t>
      </w:r>
      <w:proofErr w:type="gramStart"/>
      <w:r w:rsidR="00FE28D2" w:rsidRPr="00126B2F">
        <w:rPr>
          <w:rFonts w:cs="Times New Roman"/>
          <w:color w:val="000000"/>
          <w:sz w:val="24"/>
          <w:szCs w:val="24"/>
        </w:rPr>
        <w:t>nations</w:t>
      </w:r>
      <w:proofErr w:type="gramEnd"/>
      <w:r w:rsidR="007D7D29">
        <w:rPr>
          <w:rFonts w:cs="Times New Roman"/>
          <w:color w:val="000000"/>
          <w:sz w:val="24"/>
          <w:szCs w:val="24"/>
        </w:rPr>
        <w:t xml:space="preserve"> </w:t>
      </w:r>
      <w:r w:rsidR="00C437D5" w:rsidRPr="00126B2F">
        <w:rPr>
          <w:rFonts w:cs="Times New Roman"/>
          <w:color w:val="000000"/>
          <w:sz w:val="24"/>
          <w:szCs w:val="24"/>
        </w:rPr>
        <w:t xml:space="preserve">governments </w:t>
      </w:r>
      <w:r w:rsidRPr="00126B2F">
        <w:rPr>
          <w:rFonts w:cs="Times New Roman"/>
          <w:color w:val="000000"/>
          <w:sz w:val="24"/>
          <w:szCs w:val="24"/>
        </w:rPr>
        <w:t xml:space="preserve">have </w:t>
      </w:r>
      <w:r w:rsidR="00FE28D2" w:rsidRPr="00126B2F">
        <w:rPr>
          <w:rFonts w:cs="Times New Roman"/>
          <w:color w:val="000000"/>
          <w:sz w:val="24"/>
          <w:szCs w:val="24"/>
        </w:rPr>
        <w:t>currently</w:t>
      </w:r>
      <w:r w:rsidR="00C437D5" w:rsidRPr="00126B2F">
        <w:rPr>
          <w:rFonts w:cs="Times New Roman"/>
          <w:color w:val="000000"/>
          <w:sz w:val="24"/>
          <w:szCs w:val="24"/>
        </w:rPr>
        <w:t xml:space="preserve"> </w:t>
      </w:r>
      <w:r w:rsidRPr="00126B2F">
        <w:rPr>
          <w:rFonts w:cs="Times New Roman"/>
          <w:color w:val="000000"/>
          <w:sz w:val="24"/>
          <w:szCs w:val="24"/>
        </w:rPr>
        <w:t xml:space="preserve">restricted themselves to </w:t>
      </w:r>
      <w:r w:rsidR="00FE28D2" w:rsidRPr="00126B2F">
        <w:rPr>
          <w:rFonts w:cs="Times New Roman"/>
          <w:color w:val="000000"/>
          <w:sz w:val="24"/>
          <w:szCs w:val="24"/>
        </w:rPr>
        <w:t xml:space="preserve">relatively </w:t>
      </w:r>
      <w:r w:rsidRPr="00126B2F">
        <w:rPr>
          <w:rFonts w:cs="Times New Roman"/>
          <w:color w:val="000000"/>
          <w:sz w:val="24"/>
          <w:szCs w:val="24"/>
        </w:rPr>
        <w:t>weak</w:t>
      </w:r>
      <w:r w:rsidR="00FE28D2" w:rsidRPr="00126B2F">
        <w:rPr>
          <w:rFonts w:cs="Times New Roman"/>
          <w:color w:val="000000"/>
          <w:sz w:val="24"/>
          <w:szCs w:val="24"/>
        </w:rPr>
        <w:t>, hands-off</w:t>
      </w:r>
      <w:r w:rsidRPr="00126B2F">
        <w:rPr>
          <w:rFonts w:cs="Times New Roman"/>
          <w:color w:val="000000"/>
          <w:sz w:val="24"/>
          <w:szCs w:val="24"/>
        </w:rPr>
        <w:t xml:space="preserve"> market-based regulation</w:t>
      </w:r>
      <w:r w:rsidR="00C437D5" w:rsidRPr="00126B2F">
        <w:rPr>
          <w:rFonts w:cs="Times New Roman"/>
          <w:color w:val="000000"/>
          <w:sz w:val="24"/>
          <w:szCs w:val="24"/>
        </w:rPr>
        <w:t>, consistent with the shift to steering from a distance approaches described earlier</w:t>
      </w:r>
      <w:r w:rsidRPr="00126B2F">
        <w:rPr>
          <w:rFonts w:cs="Times New Roman"/>
          <w:color w:val="000000"/>
          <w:sz w:val="24"/>
          <w:szCs w:val="24"/>
        </w:rPr>
        <w:t xml:space="preserve">. Agency theory posits that where principals are weak or nominal, agents will maximise their own (economic) self-interest. </w:t>
      </w:r>
      <w:r w:rsidR="00FE28D2" w:rsidRPr="00126B2F">
        <w:rPr>
          <w:rFonts w:cs="Times New Roman"/>
          <w:color w:val="000000"/>
          <w:sz w:val="24"/>
          <w:szCs w:val="24"/>
        </w:rPr>
        <w:t>We suggest this is precisely what has occurred in relation to VC remuneration.</w:t>
      </w:r>
    </w:p>
    <w:p w14:paraId="40556175" w14:textId="77777777" w:rsidR="00B52F63" w:rsidRPr="00126B2F" w:rsidRDefault="00B52F63" w:rsidP="00F7771F">
      <w:pPr>
        <w:spacing w:after="0" w:line="360" w:lineRule="auto"/>
        <w:rPr>
          <w:rFonts w:cs="Times New Roman"/>
          <w:color w:val="000000"/>
          <w:sz w:val="24"/>
          <w:szCs w:val="24"/>
        </w:rPr>
      </w:pPr>
    </w:p>
    <w:p w14:paraId="20DCC043" w14:textId="7667ADA4" w:rsidR="0038732B" w:rsidRPr="00126B2F" w:rsidRDefault="00A414B4" w:rsidP="00F7771F">
      <w:pPr>
        <w:spacing w:after="0" w:line="360" w:lineRule="auto"/>
        <w:rPr>
          <w:rFonts w:cs="Times New Roman"/>
          <w:color w:val="000000"/>
          <w:sz w:val="24"/>
          <w:szCs w:val="24"/>
        </w:rPr>
      </w:pPr>
      <w:r w:rsidRPr="00126B2F">
        <w:rPr>
          <w:rFonts w:cs="Times New Roman"/>
          <w:color w:val="000000"/>
          <w:sz w:val="24"/>
          <w:szCs w:val="24"/>
        </w:rPr>
        <w:t xml:space="preserve">The second root cause </w:t>
      </w:r>
      <w:r w:rsidR="00716C78" w:rsidRPr="00126B2F">
        <w:rPr>
          <w:rFonts w:cs="Times New Roman"/>
          <w:color w:val="000000"/>
          <w:sz w:val="24"/>
          <w:szCs w:val="24"/>
        </w:rPr>
        <w:t>of the over-compensation of VCs</w:t>
      </w:r>
      <w:r w:rsidR="00B52F63">
        <w:rPr>
          <w:rFonts w:cs="Times New Roman"/>
          <w:color w:val="000000"/>
          <w:sz w:val="24"/>
          <w:szCs w:val="24"/>
        </w:rPr>
        <w:t xml:space="preserve"> </w:t>
      </w:r>
      <w:r w:rsidR="0066269F" w:rsidRPr="00126B2F">
        <w:rPr>
          <w:rFonts w:cs="Times New Roman"/>
          <w:color w:val="000000"/>
          <w:sz w:val="24"/>
          <w:szCs w:val="24"/>
        </w:rPr>
        <w:t>i</w:t>
      </w:r>
      <w:r w:rsidR="00207471" w:rsidRPr="00126B2F">
        <w:rPr>
          <w:rFonts w:cs="Times New Roman"/>
          <w:color w:val="000000"/>
          <w:sz w:val="24"/>
          <w:szCs w:val="24"/>
        </w:rPr>
        <w:t xml:space="preserve">n both </w:t>
      </w:r>
      <w:r w:rsidR="0066269F" w:rsidRPr="00126B2F">
        <w:rPr>
          <w:rFonts w:cs="Times New Roman"/>
          <w:color w:val="000000"/>
          <w:sz w:val="24"/>
          <w:szCs w:val="24"/>
        </w:rPr>
        <w:t>Australia and the UK</w:t>
      </w:r>
      <w:r w:rsidR="00044C81" w:rsidRPr="00126B2F">
        <w:rPr>
          <w:rFonts w:cs="Times New Roman"/>
          <w:color w:val="000000"/>
          <w:sz w:val="24"/>
          <w:szCs w:val="24"/>
        </w:rPr>
        <w:t xml:space="preserve">, as we have highlighted, </w:t>
      </w:r>
      <w:r w:rsidR="00716C78" w:rsidRPr="00126B2F">
        <w:rPr>
          <w:rFonts w:cs="Times New Roman"/>
          <w:color w:val="000000"/>
          <w:sz w:val="24"/>
          <w:szCs w:val="24"/>
        </w:rPr>
        <w:t>is that many officially</w:t>
      </w:r>
      <w:r w:rsidR="00207471" w:rsidRPr="00126B2F">
        <w:rPr>
          <w:rFonts w:cs="Times New Roman"/>
          <w:color w:val="000000"/>
          <w:sz w:val="24"/>
          <w:szCs w:val="24"/>
        </w:rPr>
        <w:t xml:space="preserve"> sit on their own </w:t>
      </w:r>
      <w:r w:rsidR="0038732B" w:rsidRPr="00126B2F">
        <w:rPr>
          <w:rFonts w:cs="Times New Roman"/>
          <w:color w:val="000000"/>
          <w:sz w:val="24"/>
          <w:szCs w:val="24"/>
        </w:rPr>
        <w:t xml:space="preserve">universities’ </w:t>
      </w:r>
      <w:r w:rsidR="00207471" w:rsidRPr="00126B2F">
        <w:rPr>
          <w:rFonts w:cs="Times New Roman"/>
          <w:color w:val="000000"/>
          <w:sz w:val="24"/>
          <w:szCs w:val="24"/>
        </w:rPr>
        <w:t>remuneration committees.</w:t>
      </w:r>
      <w:r w:rsidR="00EE4A05" w:rsidRPr="00126B2F">
        <w:rPr>
          <w:rFonts w:cs="Times New Roman"/>
          <w:color w:val="000000"/>
          <w:sz w:val="24"/>
          <w:szCs w:val="24"/>
        </w:rPr>
        <w:t xml:space="preserve"> </w:t>
      </w:r>
      <w:r w:rsidR="00A675D7" w:rsidRPr="00126B2F">
        <w:rPr>
          <w:rFonts w:cs="Times New Roman"/>
          <w:color w:val="000000"/>
          <w:sz w:val="24"/>
          <w:szCs w:val="24"/>
        </w:rPr>
        <w:t>This is a clear failure of university governance</w:t>
      </w:r>
      <w:r w:rsidR="00E22275" w:rsidRPr="00126B2F">
        <w:rPr>
          <w:rFonts w:cs="Times New Roman"/>
          <w:color w:val="000000"/>
          <w:sz w:val="24"/>
          <w:szCs w:val="24"/>
        </w:rPr>
        <w:t xml:space="preserve"> and </w:t>
      </w:r>
      <w:r w:rsidR="008B3D46" w:rsidRPr="00126B2F">
        <w:rPr>
          <w:rFonts w:cs="Times New Roman"/>
          <w:color w:val="000000"/>
          <w:sz w:val="24"/>
          <w:szCs w:val="24"/>
        </w:rPr>
        <w:t xml:space="preserve">appears to have </w:t>
      </w:r>
      <w:r w:rsidR="00E22275" w:rsidRPr="00126B2F">
        <w:rPr>
          <w:rFonts w:cs="Times New Roman"/>
          <w:color w:val="000000"/>
          <w:sz w:val="24"/>
          <w:szCs w:val="24"/>
        </w:rPr>
        <w:t xml:space="preserve">enabled VCs to secure remuneration for themselves </w:t>
      </w:r>
      <w:r w:rsidR="008B3D46" w:rsidRPr="00126B2F">
        <w:rPr>
          <w:rFonts w:cs="Times New Roman"/>
          <w:color w:val="000000"/>
          <w:sz w:val="24"/>
          <w:szCs w:val="24"/>
        </w:rPr>
        <w:t>at levels that</w:t>
      </w:r>
      <w:r w:rsidR="00E22275" w:rsidRPr="00126B2F">
        <w:rPr>
          <w:rFonts w:cs="Times New Roman"/>
          <w:color w:val="000000"/>
          <w:sz w:val="24"/>
          <w:szCs w:val="24"/>
        </w:rPr>
        <w:t xml:space="preserve"> exceed</w:t>
      </w:r>
      <w:r w:rsidR="008B3D46" w:rsidRPr="00126B2F">
        <w:rPr>
          <w:rFonts w:cs="Times New Roman"/>
          <w:color w:val="000000"/>
          <w:sz w:val="24"/>
          <w:szCs w:val="24"/>
        </w:rPr>
        <w:t xml:space="preserve"> </w:t>
      </w:r>
      <w:r w:rsidR="00E22275" w:rsidRPr="00126B2F">
        <w:rPr>
          <w:rFonts w:cs="Times New Roman"/>
          <w:color w:val="000000"/>
          <w:sz w:val="24"/>
          <w:szCs w:val="24"/>
        </w:rPr>
        <w:t>that which would serve as an appropriate reward necessary to ensure the appointment and retention of suitably talented people</w:t>
      </w:r>
      <w:r w:rsidR="00A675D7" w:rsidRPr="00126B2F">
        <w:rPr>
          <w:rFonts w:cs="Times New Roman"/>
          <w:color w:val="000000"/>
          <w:sz w:val="24"/>
          <w:szCs w:val="24"/>
        </w:rPr>
        <w:t xml:space="preserve">. </w:t>
      </w:r>
    </w:p>
    <w:p w14:paraId="4061C1A0" w14:textId="77777777" w:rsidR="00A414B4" w:rsidRPr="00126B2F" w:rsidRDefault="00A414B4" w:rsidP="00F7771F">
      <w:pPr>
        <w:spacing w:after="0" w:line="360" w:lineRule="auto"/>
        <w:rPr>
          <w:rFonts w:cs="Times New Roman"/>
          <w:color w:val="000000"/>
          <w:sz w:val="24"/>
          <w:szCs w:val="24"/>
        </w:rPr>
      </w:pPr>
    </w:p>
    <w:p w14:paraId="2DA5CFF0" w14:textId="027D64C4" w:rsidR="006A4A32" w:rsidRDefault="00D0316F" w:rsidP="00F7771F">
      <w:pPr>
        <w:spacing w:after="0" w:line="360" w:lineRule="auto"/>
        <w:rPr>
          <w:rFonts w:cs="Times New Roman"/>
          <w:sz w:val="24"/>
          <w:szCs w:val="24"/>
        </w:rPr>
      </w:pPr>
      <w:r w:rsidRPr="00126B2F">
        <w:rPr>
          <w:rFonts w:cs="Times New Roman"/>
          <w:color w:val="000000"/>
          <w:sz w:val="24"/>
          <w:szCs w:val="24"/>
        </w:rPr>
        <w:t xml:space="preserve">In agency </w:t>
      </w:r>
      <w:r w:rsidR="00BB607C" w:rsidRPr="00126B2F">
        <w:rPr>
          <w:rFonts w:cs="Times New Roman"/>
          <w:color w:val="000000"/>
          <w:sz w:val="24"/>
          <w:szCs w:val="24"/>
        </w:rPr>
        <w:t>governance</w:t>
      </w:r>
      <w:r w:rsidRPr="00126B2F">
        <w:rPr>
          <w:rFonts w:cs="Times New Roman"/>
          <w:color w:val="000000"/>
          <w:sz w:val="24"/>
          <w:szCs w:val="24"/>
        </w:rPr>
        <w:t xml:space="preserve">, executive remuneration will always exceed </w:t>
      </w:r>
      <w:r w:rsidR="00DC5AAA" w:rsidRPr="00126B2F">
        <w:rPr>
          <w:rFonts w:cs="Times New Roman"/>
          <w:color w:val="000000"/>
          <w:sz w:val="24"/>
          <w:szCs w:val="24"/>
        </w:rPr>
        <w:t xml:space="preserve">the </w:t>
      </w:r>
      <w:r w:rsidRPr="00126B2F">
        <w:rPr>
          <w:rFonts w:cs="Times New Roman"/>
          <w:color w:val="000000"/>
          <w:sz w:val="24"/>
          <w:szCs w:val="24"/>
        </w:rPr>
        <w:t xml:space="preserve">true economic </w:t>
      </w:r>
      <w:r w:rsidR="00BB607C" w:rsidRPr="00126B2F">
        <w:rPr>
          <w:rFonts w:cs="Times New Roman"/>
          <w:color w:val="000000"/>
          <w:sz w:val="24"/>
          <w:szCs w:val="24"/>
        </w:rPr>
        <w:t>wage</w:t>
      </w:r>
      <w:r w:rsidRPr="00126B2F">
        <w:rPr>
          <w:rFonts w:cs="Times New Roman"/>
          <w:color w:val="000000"/>
          <w:sz w:val="24"/>
          <w:szCs w:val="24"/>
        </w:rPr>
        <w:t xml:space="preserve"> because it </w:t>
      </w:r>
      <w:r w:rsidR="00BB607C" w:rsidRPr="00126B2F">
        <w:rPr>
          <w:rFonts w:cs="Times New Roman"/>
          <w:color w:val="000000"/>
          <w:sz w:val="24"/>
          <w:szCs w:val="24"/>
        </w:rPr>
        <w:t xml:space="preserve">is designed to be at </w:t>
      </w:r>
      <w:r w:rsidRPr="00126B2F">
        <w:rPr>
          <w:rFonts w:cs="Times New Roman"/>
          <w:sz w:val="24"/>
          <w:szCs w:val="24"/>
        </w:rPr>
        <w:t xml:space="preserve">the optimal point to maximise return to the shareholder in </w:t>
      </w:r>
      <w:r w:rsidR="00716C78" w:rsidRPr="00126B2F">
        <w:rPr>
          <w:rFonts w:cs="Times New Roman"/>
          <w:sz w:val="24"/>
          <w:szCs w:val="24"/>
        </w:rPr>
        <w:t xml:space="preserve">a </w:t>
      </w:r>
      <w:r w:rsidRPr="00126B2F">
        <w:rPr>
          <w:rFonts w:cs="Times New Roman"/>
          <w:sz w:val="24"/>
          <w:szCs w:val="24"/>
        </w:rPr>
        <w:t>trade-off between surveillance/control costs and rewarding managers</w:t>
      </w:r>
      <w:r w:rsidR="00DC5AAA" w:rsidRPr="00126B2F">
        <w:rPr>
          <w:rFonts w:cs="Times New Roman"/>
          <w:sz w:val="24"/>
          <w:szCs w:val="24"/>
        </w:rPr>
        <w:t xml:space="preserve">, </w:t>
      </w:r>
      <w:r w:rsidRPr="00126B2F">
        <w:rPr>
          <w:rFonts w:cs="Times New Roman"/>
          <w:sz w:val="24"/>
          <w:szCs w:val="24"/>
        </w:rPr>
        <w:t>su</w:t>
      </w:r>
      <w:r w:rsidR="00497811" w:rsidRPr="00126B2F">
        <w:rPr>
          <w:rFonts w:cs="Times New Roman"/>
          <w:sz w:val="24"/>
          <w:szCs w:val="24"/>
        </w:rPr>
        <w:t xml:space="preserve">ch that </w:t>
      </w:r>
      <w:r w:rsidR="00BB607C" w:rsidRPr="00126B2F">
        <w:rPr>
          <w:rFonts w:cs="Times New Roman"/>
          <w:sz w:val="24"/>
          <w:szCs w:val="24"/>
        </w:rPr>
        <w:t>they promote</w:t>
      </w:r>
      <w:r w:rsidRPr="00126B2F">
        <w:rPr>
          <w:rFonts w:cs="Times New Roman"/>
          <w:sz w:val="24"/>
          <w:szCs w:val="24"/>
        </w:rPr>
        <w:t xml:space="preserve"> shareholder interests above their own (Jensen &amp; </w:t>
      </w:r>
      <w:proofErr w:type="spellStart"/>
      <w:r w:rsidRPr="00126B2F">
        <w:rPr>
          <w:rFonts w:cs="Times New Roman"/>
          <w:sz w:val="24"/>
          <w:szCs w:val="24"/>
        </w:rPr>
        <w:t>Meckling</w:t>
      </w:r>
      <w:proofErr w:type="spellEnd"/>
      <w:r w:rsidRPr="00126B2F">
        <w:rPr>
          <w:rFonts w:cs="Times New Roman"/>
          <w:sz w:val="24"/>
          <w:szCs w:val="24"/>
        </w:rPr>
        <w:t>, 1976).</w:t>
      </w:r>
      <w:r w:rsidR="00735CAC" w:rsidRPr="00126B2F">
        <w:rPr>
          <w:rFonts w:cs="Times New Roman"/>
          <w:sz w:val="24"/>
          <w:szCs w:val="24"/>
        </w:rPr>
        <w:t xml:space="preserve"> </w:t>
      </w:r>
      <w:r w:rsidR="00BB607C" w:rsidRPr="00126B2F">
        <w:rPr>
          <w:rFonts w:cs="Times New Roman"/>
          <w:sz w:val="24"/>
          <w:szCs w:val="24"/>
        </w:rPr>
        <w:t xml:space="preserve">To the extent that salaries are not justifiable by reference to performance, they can be said to constitute rent. </w:t>
      </w:r>
      <w:r w:rsidR="00A30BE4" w:rsidRPr="00126B2F">
        <w:rPr>
          <w:rFonts w:cs="Times New Roman"/>
          <w:sz w:val="24"/>
          <w:szCs w:val="24"/>
        </w:rPr>
        <w:t>Rent-seeking behaviour is where actors extract a greater share of remuneration than is economically justified in terms of work undertaken or risks endured</w:t>
      </w:r>
      <w:r w:rsidR="001B3541" w:rsidRPr="00126B2F">
        <w:rPr>
          <w:rFonts w:cs="Times New Roman"/>
          <w:sz w:val="24"/>
          <w:szCs w:val="24"/>
        </w:rPr>
        <w:t xml:space="preserve">; it is </w:t>
      </w:r>
      <w:r w:rsidR="00A30BE4" w:rsidRPr="00126B2F">
        <w:rPr>
          <w:rFonts w:cs="Times New Roman"/>
          <w:sz w:val="24"/>
          <w:szCs w:val="24"/>
        </w:rPr>
        <w:t xml:space="preserve">a consequence of having </w:t>
      </w:r>
      <w:r w:rsidR="00134A66" w:rsidRPr="00126B2F">
        <w:rPr>
          <w:rFonts w:cs="Times New Roman"/>
          <w:sz w:val="24"/>
          <w:szCs w:val="24"/>
        </w:rPr>
        <w:t xml:space="preserve">unchecked </w:t>
      </w:r>
      <w:r w:rsidR="00A30BE4" w:rsidRPr="00126B2F">
        <w:rPr>
          <w:rFonts w:cs="Times New Roman"/>
          <w:sz w:val="24"/>
          <w:szCs w:val="24"/>
        </w:rPr>
        <w:t>power (Krueger</w:t>
      </w:r>
      <w:r w:rsidR="00435193" w:rsidRPr="00126B2F">
        <w:rPr>
          <w:rFonts w:cs="Times New Roman"/>
          <w:sz w:val="24"/>
          <w:szCs w:val="24"/>
        </w:rPr>
        <w:t>,</w:t>
      </w:r>
      <w:r w:rsidR="00A30BE4" w:rsidRPr="00126B2F">
        <w:rPr>
          <w:rFonts w:cs="Times New Roman"/>
          <w:sz w:val="24"/>
          <w:szCs w:val="24"/>
        </w:rPr>
        <w:t xml:space="preserve"> 1974).</w:t>
      </w:r>
      <w:r w:rsidR="00BB607C" w:rsidRPr="00126B2F">
        <w:rPr>
          <w:rFonts w:cs="Times New Roman"/>
          <w:sz w:val="24"/>
          <w:szCs w:val="24"/>
        </w:rPr>
        <w:t xml:space="preserve"> </w:t>
      </w:r>
      <w:proofErr w:type="spellStart"/>
      <w:r w:rsidR="00735CAC" w:rsidRPr="00126B2F">
        <w:rPr>
          <w:rFonts w:cs="Times New Roman"/>
          <w:sz w:val="24"/>
          <w:szCs w:val="24"/>
        </w:rPr>
        <w:t>Essaji</w:t>
      </w:r>
      <w:proofErr w:type="spellEnd"/>
      <w:r w:rsidR="00735CAC" w:rsidRPr="00126B2F">
        <w:rPr>
          <w:rFonts w:cs="Times New Roman"/>
          <w:sz w:val="24"/>
          <w:szCs w:val="24"/>
        </w:rPr>
        <w:t xml:space="preserve">, and Horton (2009) suggest that rent-seeking may explain the escalation of VC remuneration in Canada. </w:t>
      </w:r>
      <w:r w:rsidR="007520B3" w:rsidRPr="00126B2F">
        <w:rPr>
          <w:rFonts w:cs="Times New Roman"/>
          <w:sz w:val="24"/>
          <w:szCs w:val="24"/>
        </w:rPr>
        <w:t xml:space="preserve">On the basis of the data presented in this paper, we argue that it may also explain, at least in part, the escalation of VC </w:t>
      </w:r>
      <w:r w:rsidR="00E960D7">
        <w:rPr>
          <w:rFonts w:cs="Times New Roman"/>
          <w:sz w:val="24"/>
          <w:szCs w:val="24"/>
        </w:rPr>
        <w:t>remuneration</w:t>
      </w:r>
      <w:r w:rsidR="00E960D7" w:rsidRPr="00126B2F">
        <w:rPr>
          <w:rFonts w:cs="Times New Roman"/>
          <w:sz w:val="24"/>
          <w:szCs w:val="24"/>
        </w:rPr>
        <w:t xml:space="preserve"> </w:t>
      </w:r>
      <w:r w:rsidR="007520B3" w:rsidRPr="00126B2F">
        <w:rPr>
          <w:rFonts w:cs="Times New Roman"/>
          <w:sz w:val="24"/>
          <w:szCs w:val="24"/>
        </w:rPr>
        <w:t xml:space="preserve">in Australia and the UK. </w:t>
      </w:r>
      <w:r w:rsidR="00735CAC" w:rsidRPr="00126B2F">
        <w:rPr>
          <w:rFonts w:cs="Times New Roman"/>
          <w:sz w:val="24"/>
          <w:szCs w:val="24"/>
        </w:rPr>
        <w:t xml:space="preserve">Rent-seeking points to a significant </w:t>
      </w:r>
      <w:r w:rsidR="00B52F63">
        <w:rPr>
          <w:rFonts w:cs="Times New Roman"/>
          <w:sz w:val="24"/>
          <w:szCs w:val="24"/>
        </w:rPr>
        <w:t xml:space="preserve">breakdown in university </w:t>
      </w:r>
      <w:r w:rsidR="00735CAC" w:rsidRPr="00126B2F">
        <w:rPr>
          <w:rFonts w:cs="Times New Roman"/>
          <w:sz w:val="24"/>
          <w:szCs w:val="24"/>
        </w:rPr>
        <w:t>governance.</w:t>
      </w:r>
    </w:p>
    <w:p w14:paraId="563991CB" w14:textId="77777777" w:rsidR="00B52F63" w:rsidRPr="00126B2F" w:rsidRDefault="00B52F63" w:rsidP="00F7771F">
      <w:pPr>
        <w:spacing w:after="0" w:line="360" w:lineRule="auto"/>
        <w:rPr>
          <w:rFonts w:cs="Times New Roman"/>
          <w:sz w:val="24"/>
          <w:szCs w:val="24"/>
        </w:rPr>
      </w:pPr>
    </w:p>
    <w:p w14:paraId="03CD582D" w14:textId="1AB709CC" w:rsidR="00C001EB" w:rsidRPr="00126B2F" w:rsidRDefault="007520B3" w:rsidP="00F7771F">
      <w:pPr>
        <w:pStyle w:val="EndNoteBibliography"/>
        <w:spacing w:after="0" w:line="360" w:lineRule="auto"/>
        <w:rPr>
          <w:rFonts w:asciiTheme="minorHAnsi" w:hAnsiTheme="minorHAnsi" w:cs="Times New Roman"/>
          <w:noProof w:val="0"/>
          <w:sz w:val="24"/>
          <w:szCs w:val="24"/>
          <w:lang w:val="en-GB"/>
        </w:rPr>
      </w:pPr>
      <w:r w:rsidRPr="00126B2F">
        <w:rPr>
          <w:rFonts w:asciiTheme="minorHAnsi" w:hAnsiTheme="minorHAnsi" w:cs="Times New Roman"/>
          <w:noProof w:val="0"/>
          <w:sz w:val="24"/>
          <w:szCs w:val="24"/>
          <w:lang w:val="en-GB"/>
        </w:rPr>
        <w:t>Earlier</w:t>
      </w:r>
      <w:r w:rsidR="00054458">
        <w:rPr>
          <w:rFonts w:asciiTheme="minorHAnsi" w:hAnsiTheme="minorHAnsi" w:cs="Times New Roman"/>
          <w:noProof w:val="0"/>
          <w:sz w:val="24"/>
          <w:szCs w:val="24"/>
          <w:lang w:val="en-GB"/>
        </w:rPr>
        <w:t>,</w:t>
      </w:r>
      <w:r w:rsidRPr="00126B2F">
        <w:rPr>
          <w:rFonts w:asciiTheme="minorHAnsi" w:hAnsiTheme="minorHAnsi" w:cs="Times New Roman"/>
          <w:noProof w:val="0"/>
          <w:sz w:val="24"/>
          <w:szCs w:val="24"/>
          <w:lang w:val="en-GB"/>
        </w:rPr>
        <w:t xml:space="preserve"> we noted that </w:t>
      </w:r>
      <w:r w:rsidR="00044C81" w:rsidRPr="00126B2F">
        <w:rPr>
          <w:rFonts w:asciiTheme="minorHAnsi" w:hAnsiTheme="minorHAnsi" w:cs="Times New Roman"/>
          <w:noProof w:val="0"/>
          <w:sz w:val="24"/>
          <w:szCs w:val="24"/>
          <w:lang w:val="en-GB"/>
        </w:rPr>
        <w:t xml:space="preserve">agency theory posits </w:t>
      </w:r>
      <w:r w:rsidR="00054458">
        <w:rPr>
          <w:rFonts w:asciiTheme="minorHAnsi" w:hAnsiTheme="minorHAnsi" w:cs="Times New Roman"/>
          <w:noProof w:val="0"/>
          <w:sz w:val="24"/>
          <w:szCs w:val="24"/>
          <w:lang w:val="en-GB"/>
        </w:rPr>
        <w:t xml:space="preserve">that </w:t>
      </w:r>
      <w:r w:rsidR="00044C81" w:rsidRPr="00126B2F">
        <w:rPr>
          <w:rFonts w:asciiTheme="minorHAnsi" w:hAnsiTheme="minorHAnsi" w:cs="Times New Roman"/>
          <w:noProof w:val="0"/>
          <w:sz w:val="24"/>
          <w:szCs w:val="24"/>
          <w:lang w:val="en-GB"/>
        </w:rPr>
        <w:t xml:space="preserve">principals </w:t>
      </w:r>
      <w:r w:rsidR="008B3D46" w:rsidRPr="00126B2F">
        <w:rPr>
          <w:rFonts w:asciiTheme="minorHAnsi" w:hAnsiTheme="minorHAnsi" w:cs="Times New Roman"/>
          <w:noProof w:val="0"/>
          <w:sz w:val="24"/>
          <w:szCs w:val="24"/>
          <w:lang w:val="en-GB"/>
        </w:rPr>
        <w:t xml:space="preserve">and </w:t>
      </w:r>
      <w:r w:rsidR="00054458">
        <w:rPr>
          <w:rFonts w:asciiTheme="minorHAnsi" w:hAnsiTheme="minorHAnsi" w:cs="Times New Roman"/>
          <w:noProof w:val="0"/>
          <w:sz w:val="24"/>
          <w:szCs w:val="24"/>
          <w:lang w:val="en-GB"/>
        </w:rPr>
        <w:t xml:space="preserve">managerial </w:t>
      </w:r>
      <w:r w:rsidR="008B3D46" w:rsidRPr="00126B2F">
        <w:rPr>
          <w:rFonts w:asciiTheme="minorHAnsi" w:hAnsiTheme="minorHAnsi" w:cs="Times New Roman"/>
          <w:noProof w:val="0"/>
          <w:sz w:val="24"/>
          <w:szCs w:val="24"/>
          <w:lang w:val="en-GB"/>
        </w:rPr>
        <w:t xml:space="preserve">agents both seek to </w:t>
      </w:r>
      <w:r w:rsidR="00044C81" w:rsidRPr="00126B2F">
        <w:rPr>
          <w:rFonts w:asciiTheme="minorHAnsi" w:hAnsiTheme="minorHAnsi" w:cs="Times New Roman"/>
          <w:sz w:val="24"/>
          <w:szCs w:val="24"/>
        </w:rPr>
        <w:t xml:space="preserve">maximise their own financial position at the expense of the other (Ross, 1973). </w:t>
      </w:r>
      <w:r w:rsidR="008B3D46" w:rsidRPr="00126B2F">
        <w:rPr>
          <w:rFonts w:asciiTheme="minorHAnsi" w:hAnsiTheme="minorHAnsi" w:cs="Times New Roman"/>
          <w:sz w:val="24"/>
          <w:szCs w:val="24"/>
        </w:rPr>
        <w:t>Of the</w:t>
      </w:r>
      <w:r w:rsidR="00044C81" w:rsidRPr="00126B2F">
        <w:rPr>
          <w:rFonts w:asciiTheme="minorHAnsi" w:hAnsiTheme="minorHAnsi" w:cs="Times New Roman"/>
          <w:sz w:val="24"/>
          <w:szCs w:val="24"/>
        </w:rPr>
        <w:t xml:space="preserve"> two ways </w:t>
      </w:r>
      <w:r w:rsidR="008B3D46" w:rsidRPr="00126B2F">
        <w:rPr>
          <w:rFonts w:asciiTheme="minorHAnsi" w:hAnsiTheme="minorHAnsi" w:cs="Times New Roman"/>
          <w:sz w:val="24"/>
          <w:szCs w:val="24"/>
        </w:rPr>
        <w:t>that agency theory suggests can</w:t>
      </w:r>
      <w:r w:rsidR="00044C81" w:rsidRPr="00126B2F">
        <w:rPr>
          <w:rFonts w:asciiTheme="minorHAnsi" w:hAnsiTheme="minorHAnsi" w:cs="Times New Roman"/>
          <w:sz w:val="24"/>
          <w:szCs w:val="24"/>
        </w:rPr>
        <w:t xml:space="preserve"> mitigate this problem</w:t>
      </w:r>
      <w:r w:rsidR="008B3D46" w:rsidRPr="00126B2F">
        <w:rPr>
          <w:rFonts w:asciiTheme="minorHAnsi" w:hAnsiTheme="minorHAnsi" w:cs="Times New Roman"/>
          <w:sz w:val="24"/>
          <w:szCs w:val="24"/>
        </w:rPr>
        <w:t xml:space="preserve">, we have demonstrated that in both the UK and Australia, remuneration has not been effective in aligning the interests of principals </w:t>
      </w:r>
      <w:r w:rsidR="00054458" w:rsidRPr="00DB1C4C">
        <w:rPr>
          <w:rFonts w:asciiTheme="minorHAnsi" w:hAnsiTheme="minorHAnsi" w:cs="Times New Roman"/>
          <w:sz w:val="24"/>
          <w:szCs w:val="24"/>
        </w:rPr>
        <w:t xml:space="preserve">(in terms of well-functioning universities) </w:t>
      </w:r>
      <w:r w:rsidR="008B3D46" w:rsidRPr="00126B2F">
        <w:rPr>
          <w:rFonts w:asciiTheme="minorHAnsi" w:hAnsiTheme="minorHAnsi" w:cs="Times New Roman"/>
          <w:sz w:val="24"/>
          <w:szCs w:val="24"/>
        </w:rPr>
        <w:t>and agents</w:t>
      </w:r>
      <w:r w:rsidR="00054458">
        <w:rPr>
          <w:rFonts w:asciiTheme="minorHAnsi" w:hAnsiTheme="minorHAnsi" w:cs="Times New Roman"/>
          <w:sz w:val="24"/>
          <w:szCs w:val="24"/>
        </w:rPr>
        <w:t>.</w:t>
      </w:r>
      <w:r w:rsidR="00576E26" w:rsidRPr="00126B2F">
        <w:rPr>
          <w:rFonts w:asciiTheme="minorHAnsi" w:hAnsiTheme="minorHAnsi" w:cs="Times New Roman"/>
          <w:sz w:val="24"/>
          <w:szCs w:val="24"/>
        </w:rPr>
        <w:t xml:space="preserve"> Agency theory suggests that the second means of addressing this problem is through increased surveilance—governance systems that oversee, control and monitor the actions of agents </w:t>
      </w:r>
      <w:r w:rsidRPr="00126B2F">
        <w:rPr>
          <w:rFonts w:asciiTheme="minorHAnsi" w:hAnsiTheme="minorHAnsi" w:cs="Times New Roman"/>
          <w:sz w:val="24"/>
          <w:szCs w:val="24"/>
        </w:rPr>
        <w:t xml:space="preserve"> (Jensen &amp; Meckling, 1976).</w:t>
      </w:r>
      <w:r w:rsidR="00576E26" w:rsidRPr="00126B2F">
        <w:rPr>
          <w:rFonts w:asciiTheme="minorHAnsi" w:hAnsiTheme="minorHAnsi" w:cs="Times New Roman"/>
          <w:sz w:val="24"/>
          <w:szCs w:val="24"/>
        </w:rPr>
        <w:t xml:space="preserve"> These are generally dismissed as being too expensive and an unnecessary imposition on universities as self-governing and autonomous entities. Yet it is clear that the current system is not working </w:t>
      </w:r>
      <w:r w:rsidR="00C001EB" w:rsidRPr="00126B2F">
        <w:rPr>
          <w:rFonts w:asciiTheme="minorHAnsi" w:hAnsiTheme="minorHAnsi" w:cs="Times New Roman"/>
          <w:sz w:val="24"/>
          <w:szCs w:val="24"/>
        </w:rPr>
        <w:t xml:space="preserve">in either universities’ or </w:t>
      </w:r>
      <w:r w:rsidR="00054458">
        <w:rPr>
          <w:rFonts w:asciiTheme="minorHAnsi" w:hAnsiTheme="minorHAnsi" w:cs="Times New Roman"/>
          <w:sz w:val="24"/>
          <w:szCs w:val="24"/>
        </w:rPr>
        <w:t xml:space="preserve">the </w:t>
      </w:r>
      <w:r w:rsidR="00C001EB" w:rsidRPr="00126B2F">
        <w:rPr>
          <w:rFonts w:asciiTheme="minorHAnsi" w:hAnsiTheme="minorHAnsi" w:cs="Times New Roman"/>
          <w:sz w:val="24"/>
          <w:szCs w:val="24"/>
        </w:rPr>
        <w:t xml:space="preserve">public interest and also that mechanisms that limit VC remuneration (we suggest that limits on senior executive </w:t>
      </w:r>
      <w:r w:rsidR="00C001EB" w:rsidRPr="00126B2F">
        <w:rPr>
          <w:rFonts w:asciiTheme="minorHAnsi" w:hAnsiTheme="minorHAnsi" w:cs="Times New Roman"/>
          <w:sz w:val="24"/>
          <w:szCs w:val="24"/>
        </w:rPr>
        <w:lastRenderedPageBreak/>
        <w:t>remuneration would naturally follow) can work. The Australian historical example outlined in this paper demonstrate</w:t>
      </w:r>
      <w:r w:rsidR="002D6547">
        <w:rPr>
          <w:rFonts w:asciiTheme="minorHAnsi" w:hAnsiTheme="minorHAnsi" w:cs="Times New Roman"/>
          <w:sz w:val="24"/>
          <w:szCs w:val="24"/>
        </w:rPr>
        <w:t xml:space="preserve">s this. </w:t>
      </w:r>
      <w:r w:rsidR="00C001EB" w:rsidRPr="00126B2F">
        <w:rPr>
          <w:rFonts w:asciiTheme="minorHAnsi" w:hAnsiTheme="minorHAnsi" w:cs="Times New Roman"/>
          <w:sz w:val="24"/>
          <w:szCs w:val="24"/>
        </w:rPr>
        <w:t xml:space="preserve"> </w:t>
      </w:r>
      <w:r w:rsidR="00497811" w:rsidRPr="00126B2F">
        <w:rPr>
          <w:rFonts w:asciiTheme="minorHAnsi" w:hAnsiTheme="minorHAnsi" w:cs="Times New Roman"/>
          <w:noProof w:val="0"/>
          <w:sz w:val="24"/>
          <w:szCs w:val="24"/>
          <w:lang w:val="en-GB"/>
        </w:rPr>
        <w:t>Government</w:t>
      </w:r>
      <w:r w:rsidR="00C001EB" w:rsidRPr="00126B2F">
        <w:rPr>
          <w:rFonts w:asciiTheme="minorHAnsi" w:hAnsiTheme="minorHAnsi" w:cs="Times New Roman"/>
          <w:noProof w:val="0"/>
          <w:sz w:val="24"/>
          <w:szCs w:val="24"/>
          <w:lang w:val="en-GB"/>
        </w:rPr>
        <w:t>s</w:t>
      </w:r>
      <w:r w:rsidR="00497811" w:rsidRPr="00126B2F">
        <w:rPr>
          <w:rFonts w:asciiTheme="minorHAnsi" w:hAnsiTheme="minorHAnsi" w:cs="Times New Roman"/>
          <w:noProof w:val="0"/>
          <w:sz w:val="24"/>
          <w:szCs w:val="24"/>
          <w:lang w:val="en-GB"/>
        </w:rPr>
        <w:t xml:space="preserve"> </w:t>
      </w:r>
      <w:r w:rsidR="00C001EB" w:rsidRPr="00126B2F">
        <w:rPr>
          <w:rFonts w:asciiTheme="minorHAnsi" w:hAnsiTheme="minorHAnsi" w:cs="Times New Roman"/>
          <w:noProof w:val="0"/>
          <w:sz w:val="24"/>
          <w:szCs w:val="24"/>
          <w:lang w:val="en-GB"/>
        </w:rPr>
        <w:t>could</w:t>
      </w:r>
      <w:r w:rsidR="00497811" w:rsidRPr="00126B2F">
        <w:rPr>
          <w:rFonts w:asciiTheme="minorHAnsi" w:hAnsiTheme="minorHAnsi" w:cs="Times New Roman"/>
          <w:noProof w:val="0"/>
          <w:sz w:val="24"/>
          <w:szCs w:val="24"/>
          <w:lang w:val="en-GB"/>
        </w:rPr>
        <w:t>, f</w:t>
      </w:r>
      <w:r w:rsidR="00F82E32" w:rsidRPr="00126B2F">
        <w:rPr>
          <w:rFonts w:asciiTheme="minorHAnsi" w:hAnsiTheme="minorHAnsi" w:cs="Times New Roman"/>
          <w:noProof w:val="0"/>
          <w:sz w:val="24"/>
          <w:szCs w:val="24"/>
          <w:lang w:val="en-GB"/>
        </w:rPr>
        <w:t xml:space="preserve">or instance, set fixed ratios between </w:t>
      </w:r>
      <w:r w:rsidR="005C4E56" w:rsidRPr="00126B2F">
        <w:rPr>
          <w:rFonts w:asciiTheme="minorHAnsi" w:hAnsiTheme="minorHAnsi" w:cs="Times New Roman"/>
          <w:noProof w:val="0"/>
          <w:sz w:val="24"/>
          <w:szCs w:val="24"/>
          <w:lang w:val="en-GB"/>
        </w:rPr>
        <w:t xml:space="preserve">VCs’ </w:t>
      </w:r>
      <w:r w:rsidR="00E960D7">
        <w:rPr>
          <w:rFonts w:asciiTheme="minorHAnsi" w:hAnsiTheme="minorHAnsi" w:cs="Times New Roman"/>
          <w:noProof w:val="0"/>
          <w:sz w:val="24"/>
          <w:szCs w:val="24"/>
          <w:lang w:val="en-GB"/>
        </w:rPr>
        <w:t>remuneration</w:t>
      </w:r>
      <w:r w:rsidR="00E960D7" w:rsidRPr="00126B2F">
        <w:rPr>
          <w:rFonts w:asciiTheme="minorHAnsi" w:hAnsiTheme="minorHAnsi" w:cs="Times New Roman"/>
          <w:noProof w:val="0"/>
          <w:sz w:val="24"/>
          <w:szCs w:val="24"/>
          <w:lang w:val="en-GB"/>
        </w:rPr>
        <w:t xml:space="preserve"> </w:t>
      </w:r>
      <w:r w:rsidR="005C4E56" w:rsidRPr="00126B2F">
        <w:rPr>
          <w:rFonts w:asciiTheme="minorHAnsi" w:hAnsiTheme="minorHAnsi" w:cs="Times New Roman"/>
          <w:noProof w:val="0"/>
          <w:sz w:val="24"/>
          <w:szCs w:val="24"/>
          <w:lang w:val="en-GB"/>
        </w:rPr>
        <w:t xml:space="preserve">and mean academic salaries. </w:t>
      </w:r>
      <w:r w:rsidR="004300CE" w:rsidRPr="00126B2F">
        <w:rPr>
          <w:rFonts w:asciiTheme="minorHAnsi" w:hAnsiTheme="minorHAnsi" w:cs="Times New Roman"/>
          <w:noProof w:val="0"/>
          <w:sz w:val="24"/>
          <w:szCs w:val="24"/>
          <w:lang w:val="en-GB"/>
        </w:rPr>
        <w:t xml:space="preserve">This would be in line with agency thinking concerning surveillance and control where remuneration has failed to achieve the desired goals. </w:t>
      </w:r>
    </w:p>
    <w:p w14:paraId="112C213A" w14:textId="77777777" w:rsidR="00C001EB" w:rsidRPr="00126B2F" w:rsidRDefault="00C001EB" w:rsidP="00F7771F">
      <w:pPr>
        <w:pStyle w:val="EndNoteBibliography"/>
        <w:spacing w:after="0" w:line="360" w:lineRule="auto"/>
        <w:rPr>
          <w:rFonts w:asciiTheme="minorHAnsi" w:hAnsiTheme="minorHAnsi" w:cs="Times New Roman"/>
          <w:noProof w:val="0"/>
          <w:sz w:val="24"/>
          <w:szCs w:val="24"/>
          <w:lang w:val="en-GB"/>
        </w:rPr>
      </w:pPr>
    </w:p>
    <w:p w14:paraId="28E28BFE" w14:textId="23B93CCF" w:rsidR="00C001EB" w:rsidRDefault="00C001EB" w:rsidP="00F7771F">
      <w:pPr>
        <w:pStyle w:val="EndNoteBibliography"/>
        <w:spacing w:after="0" w:line="360" w:lineRule="auto"/>
        <w:rPr>
          <w:rFonts w:asciiTheme="minorHAnsi" w:hAnsiTheme="minorHAnsi" w:cs="Times New Roman"/>
          <w:noProof w:val="0"/>
          <w:sz w:val="24"/>
          <w:szCs w:val="24"/>
          <w:lang w:val="en-GB"/>
        </w:rPr>
      </w:pPr>
      <w:r w:rsidRPr="00126B2F">
        <w:rPr>
          <w:rFonts w:asciiTheme="minorHAnsi" w:hAnsiTheme="minorHAnsi" w:cs="Times New Roman"/>
          <w:noProof w:val="0"/>
          <w:sz w:val="24"/>
          <w:szCs w:val="24"/>
          <w:lang w:val="en-GB"/>
        </w:rPr>
        <w:t>There is evidence from Australia</w:t>
      </w:r>
      <w:r w:rsidR="00054458">
        <w:rPr>
          <w:rFonts w:asciiTheme="minorHAnsi" w:hAnsiTheme="minorHAnsi" w:cs="Times New Roman"/>
          <w:noProof w:val="0"/>
          <w:sz w:val="24"/>
          <w:szCs w:val="24"/>
          <w:lang w:val="en-GB"/>
        </w:rPr>
        <w:t>, but not from the UK,</w:t>
      </w:r>
      <w:r w:rsidRPr="00126B2F">
        <w:rPr>
          <w:rFonts w:asciiTheme="minorHAnsi" w:hAnsiTheme="minorHAnsi" w:cs="Times New Roman"/>
          <w:noProof w:val="0"/>
          <w:sz w:val="24"/>
          <w:szCs w:val="24"/>
          <w:lang w:val="en-GB"/>
        </w:rPr>
        <w:t xml:space="preserve"> that the coronavirus pandemic has </w:t>
      </w:r>
      <w:r w:rsidR="00A95121">
        <w:rPr>
          <w:rFonts w:asciiTheme="minorHAnsi" w:hAnsiTheme="minorHAnsi" w:cs="Times New Roman"/>
          <w:noProof w:val="0"/>
          <w:sz w:val="24"/>
          <w:szCs w:val="24"/>
          <w:lang w:val="en-GB"/>
        </w:rPr>
        <w:t>drawn attention to and</w:t>
      </w:r>
      <w:r w:rsidR="0000583A">
        <w:rPr>
          <w:rFonts w:asciiTheme="minorHAnsi" w:hAnsiTheme="minorHAnsi" w:cs="Times New Roman"/>
          <w:noProof w:val="0"/>
          <w:sz w:val="24"/>
          <w:szCs w:val="24"/>
          <w:lang w:val="en-GB"/>
        </w:rPr>
        <w:t xml:space="preserve"> </w:t>
      </w:r>
      <w:r w:rsidRPr="00126B2F">
        <w:rPr>
          <w:rFonts w:asciiTheme="minorHAnsi" w:hAnsiTheme="minorHAnsi" w:cs="Times New Roman"/>
          <w:noProof w:val="0"/>
          <w:sz w:val="24"/>
          <w:szCs w:val="24"/>
          <w:lang w:val="en-GB"/>
        </w:rPr>
        <w:t xml:space="preserve">exerted some mitigating effects on </w:t>
      </w:r>
      <w:proofErr w:type="gramStart"/>
      <w:r w:rsidRPr="00126B2F">
        <w:rPr>
          <w:rFonts w:asciiTheme="minorHAnsi" w:hAnsiTheme="minorHAnsi" w:cs="Times New Roman"/>
          <w:noProof w:val="0"/>
          <w:sz w:val="24"/>
          <w:szCs w:val="24"/>
          <w:lang w:val="en-GB"/>
        </w:rPr>
        <w:t>vice-chancellors’</w:t>
      </w:r>
      <w:proofErr w:type="gramEnd"/>
      <w:r w:rsidRPr="00126B2F">
        <w:rPr>
          <w:rFonts w:asciiTheme="minorHAnsi" w:hAnsiTheme="minorHAnsi" w:cs="Times New Roman"/>
          <w:noProof w:val="0"/>
          <w:sz w:val="24"/>
          <w:szCs w:val="24"/>
          <w:lang w:val="en-GB"/>
        </w:rPr>
        <w:t xml:space="preserve"> remuneration in 2020</w:t>
      </w:r>
      <w:r w:rsidR="00DB5FCA">
        <w:rPr>
          <w:rFonts w:asciiTheme="minorHAnsi" w:hAnsiTheme="minorHAnsi" w:cs="Times New Roman"/>
          <w:noProof w:val="0"/>
          <w:sz w:val="24"/>
          <w:szCs w:val="24"/>
          <w:lang w:val="en-GB"/>
        </w:rPr>
        <w:t>,</w:t>
      </w:r>
      <w:r w:rsidRPr="00126B2F">
        <w:rPr>
          <w:rFonts w:asciiTheme="minorHAnsi" w:hAnsiTheme="minorHAnsi" w:cs="Times New Roman"/>
          <w:noProof w:val="0"/>
          <w:sz w:val="24"/>
          <w:szCs w:val="24"/>
          <w:lang w:val="en-GB"/>
        </w:rPr>
        <w:t xml:space="preserve"> with some having taken </w:t>
      </w:r>
      <w:r w:rsidR="00E960D7">
        <w:rPr>
          <w:rFonts w:asciiTheme="minorHAnsi" w:hAnsiTheme="minorHAnsi" w:cs="Times New Roman"/>
          <w:noProof w:val="0"/>
          <w:sz w:val="24"/>
          <w:szCs w:val="24"/>
          <w:lang w:val="en-GB"/>
        </w:rPr>
        <w:t>remuneration</w:t>
      </w:r>
      <w:r w:rsidR="00E960D7" w:rsidRPr="00126B2F">
        <w:rPr>
          <w:rFonts w:asciiTheme="minorHAnsi" w:hAnsiTheme="minorHAnsi" w:cs="Times New Roman"/>
          <w:noProof w:val="0"/>
          <w:sz w:val="24"/>
          <w:szCs w:val="24"/>
          <w:lang w:val="en-GB"/>
        </w:rPr>
        <w:t xml:space="preserve"> </w:t>
      </w:r>
      <w:r w:rsidRPr="00126B2F">
        <w:rPr>
          <w:rFonts w:asciiTheme="minorHAnsi" w:hAnsiTheme="minorHAnsi" w:cs="Times New Roman"/>
          <w:noProof w:val="0"/>
          <w:sz w:val="24"/>
          <w:szCs w:val="24"/>
          <w:lang w:val="en-GB"/>
        </w:rPr>
        <w:t xml:space="preserve">cuts in the face of financial exigencies facing their universities (Ross 2020). This </w:t>
      </w:r>
      <w:r w:rsidR="00FE46B4" w:rsidRPr="00126B2F">
        <w:rPr>
          <w:rFonts w:asciiTheme="minorHAnsi" w:hAnsiTheme="minorHAnsi" w:cs="Times New Roman"/>
          <w:noProof w:val="0"/>
          <w:sz w:val="24"/>
          <w:szCs w:val="24"/>
          <w:lang w:val="en-GB"/>
        </w:rPr>
        <w:t xml:space="preserve">does not address the underlying weakness in university governance that enabled </w:t>
      </w:r>
      <w:proofErr w:type="gramStart"/>
      <w:r w:rsidR="00FE46B4" w:rsidRPr="00126B2F">
        <w:rPr>
          <w:rFonts w:asciiTheme="minorHAnsi" w:hAnsiTheme="minorHAnsi" w:cs="Times New Roman"/>
          <w:noProof w:val="0"/>
          <w:sz w:val="24"/>
          <w:szCs w:val="24"/>
          <w:lang w:val="en-GB"/>
        </w:rPr>
        <w:t>vice-chancellors’</w:t>
      </w:r>
      <w:proofErr w:type="gramEnd"/>
      <w:r w:rsidR="00FE46B4" w:rsidRPr="00126B2F">
        <w:rPr>
          <w:rFonts w:asciiTheme="minorHAnsi" w:hAnsiTheme="minorHAnsi" w:cs="Times New Roman"/>
          <w:noProof w:val="0"/>
          <w:sz w:val="24"/>
          <w:szCs w:val="24"/>
          <w:lang w:val="en-GB"/>
        </w:rPr>
        <w:t xml:space="preserve"> </w:t>
      </w:r>
      <w:r w:rsidR="00E960D7">
        <w:rPr>
          <w:rFonts w:asciiTheme="minorHAnsi" w:hAnsiTheme="minorHAnsi" w:cs="Times New Roman"/>
          <w:noProof w:val="0"/>
          <w:sz w:val="24"/>
          <w:szCs w:val="24"/>
          <w:lang w:val="en-GB"/>
        </w:rPr>
        <w:t>remuneration</w:t>
      </w:r>
      <w:r w:rsidR="00E960D7" w:rsidRPr="00126B2F">
        <w:rPr>
          <w:rFonts w:asciiTheme="minorHAnsi" w:hAnsiTheme="minorHAnsi" w:cs="Times New Roman"/>
          <w:noProof w:val="0"/>
          <w:sz w:val="24"/>
          <w:szCs w:val="24"/>
          <w:lang w:val="en-GB"/>
        </w:rPr>
        <w:t xml:space="preserve"> </w:t>
      </w:r>
      <w:r w:rsidR="00FE46B4" w:rsidRPr="00126B2F">
        <w:rPr>
          <w:rFonts w:asciiTheme="minorHAnsi" w:hAnsiTheme="minorHAnsi" w:cs="Times New Roman"/>
          <w:noProof w:val="0"/>
          <w:sz w:val="24"/>
          <w:szCs w:val="24"/>
          <w:lang w:val="en-GB"/>
        </w:rPr>
        <w:t>to escalate in the first place and thus suggests that once university finances are restored, the problem is set to return. Decisive steps to limit VC remuneration would assist in restoring faith in the university sector at a time when this is arguably most needed.</w:t>
      </w:r>
      <w:r w:rsidR="0000583A">
        <w:rPr>
          <w:rFonts w:asciiTheme="minorHAnsi" w:hAnsiTheme="minorHAnsi" w:cs="Times New Roman"/>
          <w:noProof w:val="0"/>
          <w:sz w:val="24"/>
          <w:szCs w:val="24"/>
          <w:lang w:val="en-GB"/>
        </w:rPr>
        <w:t xml:space="preserve"> </w:t>
      </w:r>
    </w:p>
    <w:p w14:paraId="0C7672AD" w14:textId="371A19AF" w:rsidR="00EC4914" w:rsidRDefault="00EC4914" w:rsidP="00F7771F">
      <w:pPr>
        <w:pStyle w:val="EndNoteBibliography"/>
        <w:spacing w:after="0" w:line="360" w:lineRule="auto"/>
        <w:rPr>
          <w:rFonts w:asciiTheme="minorHAnsi" w:hAnsiTheme="minorHAnsi" w:cs="Times New Roman"/>
          <w:noProof w:val="0"/>
          <w:sz w:val="24"/>
          <w:szCs w:val="24"/>
          <w:lang w:val="en-GB"/>
        </w:rPr>
      </w:pPr>
    </w:p>
    <w:p w14:paraId="7F58294F" w14:textId="7435BAA0" w:rsidR="00EC4914" w:rsidRDefault="00EC4914" w:rsidP="00F7771F">
      <w:pPr>
        <w:pStyle w:val="EndNoteBibliography"/>
        <w:spacing w:after="0" w:line="360" w:lineRule="auto"/>
        <w:rPr>
          <w:rFonts w:asciiTheme="minorHAnsi" w:hAnsiTheme="minorHAnsi" w:cs="Times New Roman"/>
          <w:noProof w:val="0"/>
          <w:sz w:val="24"/>
          <w:szCs w:val="24"/>
          <w:lang w:val="en-GB"/>
        </w:rPr>
      </w:pPr>
    </w:p>
    <w:p w14:paraId="4C4580F0" w14:textId="217057EC" w:rsidR="00EC4914" w:rsidRDefault="00EC4914" w:rsidP="00F7771F">
      <w:pPr>
        <w:pStyle w:val="EndNoteBibliography"/>
        <w:spacing w:after="0" w:line="360" w:lineRule="auto"/>
        <w:rPr>
          <w:rFonts w:asciiTheme="minorHAnsi" w:hAnsiTheme="minorHAnsi" w:cs="Times New Roman"/>
          <w:noProof w:val="0"/>
          <w:sz w:val="24"/>
          <w:szCs w:val="24"/>
          <w:lang w:val="en-GB"/>
        </w:rPr>
      </w:pPr>
    </w:p>
    <w:p w14:paraId="4BD08C3B" w14:textId="77777777" w:rsidR="00EC4914" w:rsidRDefault="00EC4914" w:rsidP="00EC4914">
      <w:pPr>
        <w:pStyle w:val="EndNoteBibliography"/>
        <w:spacing w:after="0" w:line="360" w:lineRule="auto"/>
        <w:rPr>
          <w:rFonts w:asciiTheme="minorHAnsi" w:hAnsiTheme="minorHAnsi" w:cs="Times New Roman"/>
          <w:noProof w:val="0"/>
          <w:sz w:val="24"/>
          <w:szCs w:val="24"/>
          <w:lang w:val="en-GB"/>
        </w:rPr>
      </w:pPr>
    </w:p>
    <w:p w14:paraId="1AA091C5" w14:textId="77777777" w:rsidR="00EC4914" w:rsidRPr="00C221C0" w:rsidRDefault="00EC4914" w:rsidP="00EC4914">
      <w:pPr>
        <w:spacing w:line="360" w:lineRule="auto"/>
        <w:rPr>
          <w:rFonts w:cstheme="minorHAnsi"/>
          <w:sz w:val="24"/>
          <w:szCs w:val="24"/>
        </w:rPr>
      </w:pPr>
      <w:r w:rsidRPr="00F07C8B">
        <w:rPr>
          <w:rFonts w:cs="Times New Roman"/>
          <w:b/>
          <w:bCs/>
          <w:sz w:val="24"/>
          <w:szCs w:val="24"/>
        </w:rPr>
        <w:t>Acknowledgements:</w:t>
      </w:r>
      <w:r>
        <w:rPr>
          <w:rFonts w:cs="Times New Roman"/>
          <w:sz w:val="24"/>
          <w:szCs w:val="24"/>
        </w:rPr>
        <w:t xml:space="preserve"> </w:t>
      </w:r>
      <w:r w:rsidRPr="00126B2F">
        <w:rPr>
          <w:rFonts w:cs="Times New Roman"/>
          <w:sz w:val="24"/>
          <w:szCs w:val="24"/>
        </w:rPr>
        <w:t>The authors gratefully acknowledge John Wiley and Sons for permission to reproduce figure</w:t>
      </w:r>
      <w:r>
        <w:rPr>
          <w:rFonts w:cs="Times New Roman"/>
          <w:sz w:val="24"/>
          <w:szCs w:val="24"/>
        </w:rPr>
        <w:t xml:space="preserve"> </w:t>
      </w:r>
      <w:r w:rsidRPr="00126B2F">
        <w:rPr>
          <w:rFonts w:cs="Times New Roman"/>
          <w:sz w:val="24"/>
          <w:szCs w:val="24"/>
        </w:rPr>
        <w:t xml:space="preserve">2 from </w:t>
      </w:r>
      <w:proofErr w:type="spellStart"/>
      <w:r w:rsidRPr="00126B2F">
        <w:rPr>
          <w:rFonts w:cs="Times New Roman"/>
          <w:sz w:val="24"/>
          <w:szCs w:val="24"/>
        </w:rPr>
        <w:t>Bachan</w:t>
      </w:r>
      <w:proofErr w:type="spellEnd"/>
      <w:r w:rsidRPr="00126B2F">
        <w:rPr>
          <w:rFonts w:cs="Times New Roman"/>
          <w:sz w:val="24"/>
          <w:szCs w:val="24"/>
        </w:rPr>
        <w:t>. R., and Reilly, B. (2015). ‘Is vice chancellor pay justified by university performance? ‘</w:t>
      </w:r>
      <w:r w:rsidRPr="00126B2F">
        <w:rPr>
          <w:rFonts w:cs="Times New Roman"/>
          <w:i/>
          <w:sz w:val="24"/>
          <w:szCs w:val="24"/>
        </w:rPr>
        <w:t>Fiscal Studies.</w:t>
      </w:r>
      <w:r w:rsidRPr="00126B2F">
        <w:rPr>
          <w:rFonts w:cs="Times New Roman"/>
          <w:sz w:val="24"/>
          <w:szCs w:val="24"/>
        </w:rPr>
        <w:t xml:space="preserve"> 36(1), 51–73. The authors also gratefully acknowledge assistance to access to published historical documents provided by a number of Australian universities and access to archival records provided by the National Tertiary Education Union of Australia.</w:t>
      </w:r>
    </w:p>
    <w:p w14:paraId="6DE9BF50" w14:textId="77777777" w:rsidR="00EC4914" w:rsidRDefault="00EC4914" w:rsidP="00F7771F">
      <w:pPr>
        <w:pStyle w:val="EndNoteBibliography"/>
        <w:spacing w:after="0" w:line="360" w:lineRule="auto"/>
        <w:rPr>
          <w:rFonts w:asciiTheme="minorHAnsi" w:hAnsiTheme="minorHAnsi" w:cs="Times New Roman"/>
          <w:noProof w:val="0"/>
          <w:sz w:val="24"/>
          <w:szCs w:val="24"/>
          <w:lang w:val="en-GB"/>
        </w:rPr>
      </w:pPr>
    </w:p>
    <w:p w14:paraId="2497D707" w14:textId="7020DB77" w:rsidR="00986125" w:rsidRDefault="00986125" w:rsidP="00F7771F">
      <w:pPr>
        <w:pStyle w:val="EndNoteBibliography"/>
        <w:spacing w:after="0" w:line="360" w:lineRule="auto"/>
        <w:rPr>
          <w:rFonts w:asciiTheme="minorHAnsi" w:hAnsiTheme="minorHAnsi" w:cs="Times New Roman"/>
          <w:noProof w:val="0"/>
          <w:sz w:val="24"/>
          <w:szCs w:val="24"/>
          <w:lang w:val="en-GB"/>
        </w:rPr>
      </w:pPr>
    </w:p>
    <w:p w14:paraId="37905FB7" w14:textId="77777777" w:rsidR="00986125" w:rsidRPr="00126B2F" w:rsidRDefault="00986125" w:rsidP="00F7771F">
      <w:pPr>
        <w:pStyle w:val="EndNoteBibliography"/>
        <w:spacing w:after="0" w:line="360" w:lineRule="auto"/>
        <w:rPr>
          <w:rFonts w:asciiTheme="minorHAnsi" w:hAnsiTheme="minorHAnsi" w:cs="Times New Roman"/>
          <w:noProof w:val="0"/>
          <w:sz w:val="24"/>
          <w:szCs w:val="24"/>
          <w:lang w:val="en-GB"/>
        </w:rPr>
      </w:pPr>
    </w:p>
    <w:p w14:paraId="1851EBA9" w14:textId="77777777" w:rsidR="00C001EB" w:rsidRPr="00126B2F" w:rsidRDefault="00C001EB" w:rsidP="00F7771F">
      <w:pPr>
        <w:pStyle w:val="EndNoteBibliography"/>
        <w:spacing w:line="360" w:lineRule="auto"/>
        <w:rPr>
          <w:rFonts w:asciiTheme="minorHAnsi" w:hAnsiTheme="minorHAnsi" w:cs="Times New Roman"/>
          <w:noProof w:val="0"/>
          <w:sz w:val="24"/>
          <w:szCs w:val="24"/>
          <w:lang w:val="en-GB"/>
        </w:rPr>
      </w:pPr>
    </w:p>
    <w:p w14:paraId="65A60FAC" w14:textId="0F992737" w:rsidR="00801C4F" w:rsidRPr="00126B2F" w:rsidRDefault="00801C4F" w:rsidP="00F7771F">
      <w:pPr>
        <w:pStyle w:val="EndNoteBibliography"/>
        <w:spacing w:line="360" w:lineRule="auto"/>
        <w:rPr>
          <w:rFonts w:asciiTheme="minorHAnsi" w:hAnsiTheme="minorHAnsi" w:cs="Times New Roman"/>
          <w:sz w:val="24"/>
          <w:szCs w:val="24"/>
        </w:rPr>
      </w:pPr>
    </w:p>
    <w:p w14:paraId="583CC322" w14:textId="2B210B52" w:rsidR="00D6307C" w:rsidRDefault="00880A3A" w:rsidP="00986125">
      <w:pPr>
        <w:spacing w:line="360" w:lineRule="auto"/>
        <w:rPr>
          <w:rFonts w:cs="Times New Roman"/>
          <w:b/>
          <w:sz w:val="24"/>
          <w:szCs w:val="24"/>
        </w:rPr>
      </w:pPr>
      <w:bookmarkStart w:id="3" w:name="_Hlk42000701"/>
      <w:bookmarkEnd w:id="2"/>
      <w:r w:rsidRPr="00126B2F">
        <w:rPr>
          <w:rFonts w:cs="Times New Roman"/>
          <w:b/>
          <w:sz w:val="24"/>
          <w:szCs w:val="24"/>
        </w:rPr>
        <w:br w:type="page"/>
      </w:r>
      <w:bookmarkEnd w:id="3"/>
    </w:p>
    <w:p w14:paraId="7FC27F37" w14:textId="77777777" w:rsidR="00D6307C" w:rsidRDefault="00D6307C" w:rsidP="00F7771F">
      <w:pPr>
        <w:pStyle w:val="EndNoteBibliography"/>
        <w:spacing w:line="360" w:lineRule="auto"/>
        <w:rPr>
          <w:rFonts w:asciiTheme="minorHAnsi" w:hAnsiTheme="minorHAnsi" w:cs="Times New Roman"/>
          <w:b/>
          <w:sz w:val="24"/>
          <w:szCs w:val="24"/>
          <w:lang w:val="en-GB"/>
        </w:rPr>
      </w:pPr>
    </w:p>
    <w:p w14:paraId="083E7A91" w14:textId="29270021" w:rsidR="00BB3C7D" w:rsidRPr="00126B2F" w:rsidRDefault="00664860" w:rsidP="00F7771F">
      <w:pPr>
        <w:pStyle w:val="EndNoteBibliography"/>
        <w:spacing w:line="360" w:lineRule="auto"/>
        <w:rPr>
          <w:rFonts w:asciiTheme="minorHAnsi" w:hAnsiTheme="minorHAnsi" w:cs="Times New Roman"/>
          <w:b/>
          <w:sz w:val="24"/>
          <w:szCs w:val="24"/>
          <w:lang w:val="en-GB"/>
        </w:rPr>
      </w:pPr>
      <w:r w:rsidRPr="00126B2F">
        <w:rPr>
          <w:rFonts w:asciiTheme="minorHAnsi" w:hAnsiTheme="minorHAnsi" w:cs="Times New Roman"/>
          <w:b/>
          <w:sz w:val="24"/>
          <w:szCs w:val="24"/>
          <w:lang w:val="en-GB"/>
        </w:rPr>
        <w:t>References</w:t>
      </w:r>
    </w:p>
    <w:p w14:paraId="6D6C1337" w14:textId="4B226C9E"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Academic Salaries Tribunal</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B75BC"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1974</w:t>
      </w:r>
      <w:r w:rsidR="003B75BC"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Academic Salaries Tribunal 1974 Review</w:t>
      </w:r>
      <w:r w:rsidR="003B75BC"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Canberra</w:t>
      </w:r>
      <w:r w:rsidR="003B75BC" w:rsidRPr="00126B2F">
        <w:rPr>
          <w:rFonts w:asciiTheme="minorHAnsi" w:hAnsiTheme="minorHAnsi" w:cs="Times New Roman"/>
          <w:sz w:val="24"/>
          <w:szCs w:val="24"/>
          <w:lang w:val="en-GB"/>
        </w:rPr>
        <w:t>: Commonwealth of Australia</w:t>
      </w:r>
      <w:r w:rsidRPr="00126B2F">
        <w:rPr>
          <w:rFonts w:asciiTheme="minorHAnsi" w:hAnsiTheme="minorHAnsi" w:cs="Times New Roman"/>
          <w:sz w:val="24"/>
          <w:szCs w:val="24"/>
          <w:lang w:val="en-GB"/>
        </w:rPr>
        <w:t>.</w:t>
      </w:r>
    </w:p>
    <w:p w14:paraId="662A0ABB" w14:textId="3F5824E9"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75EA9B8C" w14:textId="5595317D"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Academic Salaries Tribunal</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B75BC"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1985</w:t>
      </w:r>
      <w:r w:rsidR="003B75BC"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Academic Salaries Tribunal: Salaries of Vice-Chncellors and Deputy Vice-Chancellors of Universities November 1985</w:t>
      </w:r>
      <w:r w:rsidR="003B75BC"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Canberra</w:t>
      </w:r>
      <w:r w:rsidR="003B75BC" w:rsidRPr="00126B2F">
        <w:rPr>
          <w:rFonts w:asciiTheme="minorHAnsi" w:hAnsiTheme="minorHAnsi" w:cs="Times New Roman"/>
          <w:sz w:val="24"/>
          <w:szCs w:val="24"/>
          <w:lang w:val="en-GB"/>
        </w:rPr>
        <w:t>: Commonwealth of Australia.</w:t>
      </w:r>
    </w:p>
    <w:p w14:paraId="6C8CBE2C" w14:textId="1FB2B55E" w:rsidR="00E41230" w:rsidRPr="00126B2F" w:rsidRDefault="00E41230" w:rsidP="00F7771F">
      <w:pPr>
        <w:pStyle w:val="Heading1"/>
        <w:shd w:val="clear" w:color="auto" w:fill="FFFFFF"/>
        <w:spacing w:before="0" w:beforeAutospacing="0" w:after="0" w:afterAutospacing="0" w:line="360" w:lineRule="auto"/>
        <w:rPr>
          <w:rFonts w:asciiTheme="minorHAnsi" w:hAnsiTheme="minorHAnsi"/>
          <w:b w:val="0"/>
          <w:bCs w:val="0"/>
          <w:color w:val="121212"/>
          <w:sz w:val="24"/>
          <w:szCs w:val="24"/>
          <w:lang w:val="en-GB"/>
        </w:rPr>
      </w:pPr>
    </w:p>
    <w:p w14:paraId="68682AD7" w14:textId="5E41C56C" w:rsidR="00E41230" w:rsidRPr="00126B2F" w:rsidRDefault="00E41230" w:rsidP="00F7771F">
      <w:pPr>
        <w:pStyle w:val="Heading1"/>
        <w:shd w:val="clear" w:color="auto" w:fill="FFFFFF"/>
        <w:spacing w:before="0" w:beforeAutospacing="0" w:after="0" w:afterAutospacing="0" w:line="360" w:lineRule="auto"/>
        <w:rPr>
          <w:rFonts w:asciiTheme="minorHAnsi" w:hAnsiTheme="minorHAnsi"/>
          <w:b w:val="0"/>
          <w:bCs w:val="0"/>
          <w:color w:val="121212"/>
          <w:sz w:val="24"/>
          <w:szCs w:val="24"/>
          <w:lang w:val="en-GB"/>
        </w:rPr>
      </w:pPr>
      <w:r w:rsidRPr="00126B2F">
        <w:rPr>
          <w:rFonts w:asciiTheme="minorHAnsi" w:hAnsiTheme="minorHAnsi"/>
          <w:b w:val="0"/>
          <w:bCs w:val="0"/>
          <w:color w:val="121212"/>
          <w:sz w:val="24"/>
          <w:szCs w:val="24"/>
          <w:lang w:val="en-GB"/>
        </w:rPr>
        <w:t xml:space="preserve">Adams, R. (2019) ’Vice-chancellors still attend pay meetings despite outcry’ </w:t>
      </w:r>
      <w:r w:rsidRPr="00126B2F">
        <w:rPr>
          <w:rFonts w:asciiTheme="minorHAnsi" w:hAnsiTheme="minorHAnsi"/>
          <w:b w:val="0"/>
          <w:bCs w:val="0"/>
          <w:i/>
          <w:color w:val="121212"/>
          <w:sz w:val="24"/>
          <w:szCs w:val="24"/>
          <w:lang w:val="en-GB"/>
        </w:rPr>
        <w:t xml:space="preserve">The Guardian, </w:t>
      </w:r>
      <w:r w:rsidRPr="00126B2F">
        <w:rPr>
          <w:rFonts w:asciiTheme="minorHAnsi" w:hAnsiTheme="minorHAnsi"/>
          <w:b w:val="0"/>
          <w:bCs w:val="0"/>
          <w:color w:val="121212"/>
          <w:sz w:val="24"/>
          <w:szCs w:val="24"/>
          <w:lang w:val="en-GB"/>
        </w:rPr>
        <w:t>20 June,</w:t>
      </w:r>
      <w:r w:rsidRPr="00126B2F">
        <w:rPr>
          <w:rFonts w:asciiTheme="minorHAnsi" w:hAnsiTheme="minorHAnsi"/>
          <w:b w:val="0"/>
          <w:bCs w:val="0"/>
          <w:sz w:val="24"/>
          <w:szCs w:val="24"/>
          <w:lang w:val="en-GB"/>
        </w:rPr>
        <w:t xml:space="preserve"> </w:t>
      </w:r>
      <w:r w:rsidRPr="00054458">
        <w:rPr>
          <w:rFonts w:asciiTheme="minorHAnsi" w:hAnsiTheme="minorHAnsi"/>
          <w:b w:val="0"/>
          <w:sz w:val="24"/>
          <w:szCs w:val="24"/>
          <w:lang w:val="en-GB"/>
        </w:rPr>
        <w:t>https://www.theguardian.com/education/2019/jun/20/vice-chancellors-still-attend-pay-meetings-despite-outcry</w:t>
      </w:r>
      <w:r w:rsidRPr="00126B2F">
        <w:rPr>
          <w:rFonts w:asciiTheme="minorHAnsi" w:hAnsiTheme="minorHAnsi"/>
          <w:b w:val="0"/>
          <w:sz w:val="24"/>
          <w:szCs w:val="24"/>
          <w:lang w:val="en-GB"/>
        </w:rPr>
        <w:t>. Accessed 7 February 2020.</w:t>
      </w:r>
    </w:p>
    <w:p w14:paraId="05E7F9F7"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2F6D2637" w14:textId="4CCE154A"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Adams, R</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Gamperl, E</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2018</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'University vice-chancellors are paid far more than public sector peers'</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The Guardian</w:t>
      </w:r>
      <w:r w:rsidRPr="00126B2F">
        <w:rPr>
          <w:rFonts w:asciiTheme="minorHAnsi" w:hAnsiTheme="minorHAnsi" w:cs="Times New Roman"/>
          <w:sz w:val="24"/>
          <w:szCs w:val="24"/>
          <w:lang w:val="en-GB"/>
        </w:rPr>
        <w:t>, 11 March</w:t>
      </w:r>
      <w:r w:rsidR="0013194F" w:rsidRPr="00126B2F">
        <w:rPr>
          <w:rFonts w:asciiTheme="minorHAnsi" w:hAnsiTheme="minorHAnsi" w:cs="Times New Roman"/>
          <w:sz w:val="24"/>
          <w:szCs w:val="24"/>
          <w:lang w:val="en-GB"/>
        </w:rPr>
        <w:t xml:space="preserve"> 2018. </w:t>
      </w:r>
      <w:r w:rsidR="0013194F" w:rsidRPr="00126B2F">
        <w:rPr>
          <w:rStyle w:val="Hyperlink"/>
          <w:rFonts w:asciiTheme="minorHAnsi" w:hAnsiTheme="minorHAnsi" w:cs="Times New Roman"/>
          <w:color w:val="auto"/>
          <w:sz w:val="24"/>
          <w:szCs w:val="24"/>
          <w:u w:val="none"/>
          <w:lang w:val="en-GB"/>
        </w:rPr>
        <w:t>https://www.theguardian.com/education/2018/mar/11/university-vice-chancellors-are-paid-far-more-than-public-sector-peers</w:t>
      </w:r>
      <w:r w:rsidR="0013194F"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Accessed 25 February 2019</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13194F" w:rsidRPr="00126B2F">
        <w:rPr>
          <w:rStyle w:val="Hyperlink"/>
          <w:rFonts w:asciiTheme="minorHAnsi" w:hAnsiTheme="minorHAnsi" w:cs="Times New Roman"/>
          <w:sz w:val="24"/>
          <w:szCs w:val="24"/>
          <w:lang w:val="en-GB"/>
        </w:rPr>
        <w:t xml:space="preserve"> </w:t>
      </w:r>
    </w:p>
    <w:p w14:paraId="095FC947"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3AB94C3C" w14:textId="25CF60DD"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Ainley, P</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2014</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'Robbins remembered and dismembered, contextualising the anniversary'</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Higher Education Quarterly</w:t>
      </w:r>
      <w:r w:rsidRPr="00126B2F">
        <w:rPr>
          <w:rFonts w:asciiTheme="minorHAnsi" w:hAnsiTheme="minorHAnsi" w:cs="Times New Roman"/>
          <w:sz w:val="24"/>
          <w:szCs w:val="24"/>
          <w:lang w:val="en-GB"/>
        </w:rPr>
        <w:t>,</w:t>
      </w:r>
      <w:r w:rsidR="0013194F"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68</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225-40.</w:t>
      </w:r>
    </w:p>
    <w:p w14:paraId="71AE7069"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4C1B6B73" w14:textId="4F73290B"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Anderson, D</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Johnson, R</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Saha, L</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2002</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Changes in Academic Work: Implications for universities of the changing age distribution and work roles of academic staff</w:t>
      </w:r>
      <w:r w:rsidR="0013194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13194F" w:rsidRPr="00126B2F">
        <w:rPr>
          <w:rFonts w:asciiTheme="minorHAnsi" w:hAnsiTheme="minorHAnsi" w:cs="Times New Roman"/>
          <w:sz w:val="24"/>
          <w:szCs w:val="24"/>
          <w:lang w:val="en-GB"/>
        </w:rPr>
        <w:t xml:space="preserve">Canberra: </w:t>
      </w:r>
      <w:r w:rsidRPr="00126B2F">
        <w:rPr>
          <w:rFonts w:asciiTheme="minorHAnsi" w:hAnsiTheme="minorHAnsi" w:cs="Times New Roman"/>
          <w:sz w:val="24"/>
          <w:szCs w:val="24"/>
          <w:lang w:val="en-GB"/>
        </w:rPr>
        <w:t>Department of Education Science and Training.</w:t>
      </w:r>
    </w:p>
    <w:p w14:paraId="52F5E5A1"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3E773CF0" w14:textId="2E7D3EE7" w:rsidR="00932283" w:rsidRPr="00126B2F" w:rsidRDefault="00932283" w:rsidP="00F7771F">
      <w:pPr>
        <w:pStyle w:val="Default"/>
        <w:spacing w:line="360" w:lineRule="auto"/>
        <w:rPr>
          <w:rFonts w:asciiTheme="minorHAnsi" w:hAnsiTheme="minorHAnsi"/>
          <w:lang w:val="en-GB"/>
        </w:rPr>
      </w:pPr>
      <w:proofErr w:type="spellStart"/>
      <w:r w:rsidRPr="00126B2F">
        <w:rPr>
          <w:rFonts w:asciiTheme="minorHAnsi" w:hAnsiTheme="minorHAnsi"/>
          <w:lang w:val="en-GB"/>
        </w:rPr>
        <w:t>Bachan</w:t>
      </w:r>
      <w:proofErr w:type="spellEnd"/>
      <w:r w:rsidR="004B0BDD" w:rsidRPr="00126B2F">
        <w:rPr>
          <w:rFonts w:asciiTheme="minorHAnsi" w:hAnsiTheme="minorHAnsi"/>
          <w:lang w:val="en-GB"/>
        </w:rPr>
        <w:t>,</w:t>
      </w:r>
      <w:r w:rsidRPr="00126B2F">
        <w:rPr>
          <w:rFonts w:asciiTheme="minorHAnsi" w:hAnsiTheme="minorHAnsi"/>
          <w:lang w:val="en-GB"/>
        </w:rPr>
        <w:t xml:space="preserve"> R</w:t>
      </w:r>
      <w:r w:rsidR="004B0BDD" w:rsidRPr="00126B2F">
        <w:rPr>
          <w:rFonts w:asciiTheme="minorHAnsi" w:hAnsiTheme="minorHAnsi"/>
          <w:lang w:val="en-GB"/>
        </w:rPr>
        <w:t>.,</w:t>
      </w:r>
      <w:r w:rsidRPr="00126B2F">
        <w:rPr>
          <w:rFonts w:asciiTheme="minorHAnsi" w:hAnsiTheme="minorHAnsi"/>
          <w:lang w:val="en-GB"/>
        </w:rPr>
        <w:t xml:space="preserve"> </w:t>
      </w:r>
      <w:r w:rsidR="004B0BDD" w:rsidRPr="00126B2F">
        <w:rPr>
          <w:rFonts w:asciiTheme="minorHAnsi" w:hAnsiTheme="minorHAnsi"/>
          <w:lang w:val="en-GB"/>
        </w:rPr>
        <w:t xml:space="preserve">&amp; </w:t>
      </w:r>
      <w:r w:rsidRPr="00126B2F">
        <w:rPr>
          <w:rFonts w:asciiTheme="minorHAnsi" w:hAnsiTheme="minorHAnsi"/>
          <w:lang w:val="en-GB"/>
        </w:rPr>
        <w:t>Reilly</w:t>
      </w:r>
      <w:r w:rsidR="004B0BDD" w:rsidRPr="00126B2F">
        <w:rPr>
          <w:rFonts w:asciiTheme="minorHAnsi" w:hAnsiTheme="minorHAnsi"/>
          <w:lang w:val="en-GB"/>
        </w:rPr>
        <w:t>,</w:t>
      </w:r>
      <w:r w:rsidRPr="00126B2F">
        <w:rPr>
          <w:rFonts w:asciiTheme="minorHAnsi" w:hAnsiTheme="minorHAnsi"/>
          <w:lang w:val="en-GB"/>
        </w:rPr>
        <w:t xml:space="preserve"> B</w:t>
      </w:r>
      <w:r w:rsidR="004B0BDD" w:rsidRPr="00126B2F">
        <w:rPr>
          <w:rFonts w:asciiTheme="minorHAnsi" w:hAnsiTheme="minorHAnsi"/>
          <w:lang w:val="en-GB"/>
        </w:rPr>
        <w:t>.</w:t>
      </w:r>
      <w:r w:rsidRPr="00126B2F">
        <w:rPr>
          <w:rFonts w:asciiTheme="minorHAnsi" w:hAnsiTheme="minorHAnsi"/>
          <w:lang w:val="en-GB"/>
        </w:rPr>
        <w:t xml:space="preserve"> </w:t>
      </w:r>
      <w:r w:rsidR="004B0BDD" w:rsidRPr="00126B2F">
        <w:rPr>
          <w:rFonts w:asciiTheme="minorHAnsi" w:hAnsiTheme="minorHAnsi"/>
          <w:lang w:val="en-GB"/>
        </w:rPr>
        <w:t>(</w:t>
      </w:r>
      <w:r w:rsidRPr="00126B2F">
        <w:rPr>
          <w:rFonts w:asciiTheme="minorHAnsi" w:hAnsiTheme="minorHAnsi"/>
          <w:lang w:val="en-GB"/>
        </w:rPr>
        <w:t>2015</w:t>
      </w:r>
      <w:r w:rsidR="004B0BDD" w:rsidRPr="00126B2F">
        <w:rPr>
          <w:rFonts w:asciiTheme="minorHAnsi" w:hAnsiTheme="minorHAnsi"/>
          <w:lang w:val="en-GB"/>
        </w:rPr>
        <w:t>).</w:t>
      </w:r>
      <w:r w:rsidRPr="00126B2F">
        <w:rPr>
          <w:rFonts w:asciiTheme="minorHAnsi" w:hAnsiTheme="minorHAnsi"/>
          <w:lang w:val="en-GB"/>
        </w:rPr>
        <w:t xml:space="preserve"> </w:t>
      </w:r>
      <w:r w:rsidR="004B0BDD" w:rsidRPr="00126B2F">
        <w:rPr>
          <w:rFonts w:asciiTheme="minorHAnsi" w:hAnsiTheme="minorHAnsi"/>
          <w:lang w:val="en-GB"/>
        </w:rPr>
        <w:t>’</w:t>
      </w:r>
      <w:r w:rsidRPr="00126B2F">
        <w:rPr>
          <w:rFonts w:asciiTheme="minorHAnsi" w:hAnsiTheme="minorHAnsi"/>
          <w:lang w:val="en-GB"/>
        </w:rPr>
        <w:t>Is vice chancellor pay justified by university performance?</w:t>
      </w:r>
      <w:r w:rsidR="004B0BDD" w:rsidRPr="00126B2F">
        <w:rPr>
          <w:rFonts w:asciiTheme="minorHAnsi" w:hAnsiTheme="minorHAnsi"/>
          <w:lang w:val="en-GB"/>
        </w:rPr>
        <w:t>’</w:t>
      </w:r>
      <w:r w:rsidRPr="00126B2F">
        <w:rPr>
          <w:rFonts w:asciiTheme="minorHAnsi" w:hAnsiTheme="minorHAnsi"/>
          <w:lang w:val="en-GB"/>
        </w:rPr>
        <w:t xml:space="preserve"> </w:t>
      </w:r>
      <w:r w:rsidRPr="00126B2F">
        <w:rPr>
          <w:rFonts w:asciiTheme="minorHAnsi" w:hAnsiTheme="minorHAnsi"/>
          <w:i/>
          <w:lang w:val="en-GB"/>
        </w:rPr>
        <w:t>Fiscal Studies,</w:t>
      </w:r>
      <w:r w:rsidRPr="00126B2F">
        <w:rPr>
          <w:rFonts w:asciiTheme="minorHAnsi" w:hAnsiTheme="minorHAnsi"/>
          <w:lang w:val="en-GB"/>
        </w:rPr>
        <w:t xml:space="preserve"> </w:t>
      </w:r>
      <w:proofErr w:type="gramStart"/>
      <w:r w:rsidRPr="00126B2F">
        <w:rPr>
          <w:rFonts w:asciiTheme="minorHAnsi" w:hAnsiTheme="minorHAnsi"/>
          <w:lang w:val="en-GB"/>
        </w:rPr>
        <w:t>36</w:t>
      </w:r>
      <w:r w:rsidR="004B0BDD" w:rsidRPr="00126B2F">
        <w:rPr>
          <w:rFonts w:asciiTheme="minorHAnsi" w:hAnsiTheme="minorHAnsi"/>
          <w:lang w:val="en-GB"/>
        </w:rPr>
        <w:t>(</w:t>
      </w:r>
      <w:r w:rsidRPr="00126B2F">
        <w:rPr>
          <w:rFonts w:asciiTheme="minorHAnsi" w:hAnsiTheme="minorHAnsi"/>
          <w:lang w:val="en-GB"/>
        </w:rPr>
        <w:t xml:space="preserve"> 1</w:t>
      </w:r>
      <w:proofErr w:type="gramEnd"/>
      <w:r w:rsidR="004B0BDD" w:rsidRPr="00126B2F">
        <w:rPr>
          <w:rFonts w:asciiTheme="minorHAnsi" w:hAnsiTheme="minorHAnsi"/>
          <w:lang w:val="en-GB"/>
        </w:rPr>
        <w:t xml:space="preserve">), </w:t>
      </w:r>
      <w:r w:rsidRPr="00126B2F">
        <w:rPr>
          <w:rFonts w:asciiTheme="minorHAnsi" w:hAnsiTheme="minorHAnsi"/>
          <w:lang w:val="en-GB"/>
        </w:rPr>
        <w:t>51–73</w:t>
      </w:r>
      <w:r w:rsidR="004B0BDD" w:rsidRPr="00126B2F">
        <w:rPr>
          <w:rFonts w:asciiTheme="minorHAnsi" w:hAnsiTheme="minorHAnsi"/>
          <w:lang w:val="en-GB"/>
        </w:rPr>
        <w:t>.</w:t>
      </w:r>
      <w:r w:rsidRPr="00126B2F">
        <w:rPr>
          <w:rFonts w:asciiTheme="minorHAnsi" w:hAnsiTheme="minorHAnsi"/>
          <w:lang w:val="en-GB"/>
        </w:rPr>
        <w:t xml:space="preserve"> </w:t>
      </w:r>
    </w:p>
    <w:p w14:paraId="7F6988CB" w14:textId="7087F392"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2A981729" w14:textId="35EC1808" w:rsidR="003C0DE5" w:rsidRPr="00126B2F" w:rsidRDefault="003C0DE5"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Baimbri</w:t>
      </w:r>
      <w:r w:rsidR="00221A62" w:rsidRPr="00126B2F">
        <w:rPr>
          <w:rFonts w:asciiTheme="minorHAnsi" w:hAnsiTheme="minorHAnsi" w:cs="Times New Roman"/>
          <w:sz w:val="24"/>
          <w:szCs w:val="24"/>
          <w:lang w:val="en-GB"/>
        </w:rPr>
        <w:t>d</w:t>
      </w:r>
      <w:r w:rsidRPr="00126B2F">
        <w:rPr>
          <w:rFonts w:asciiTheme="minorHAnsi" w:hAnsiTheme="minorHAnsi" w:cs="Times New Roman"/>
          <w:sz w:val="24"/>
          <w:szCs w:val="24"/>
          <w:lang w:val="en-GB"/>
        </w:rPr>
        <w:t>ge</w:t>
      </w:r>
      <w:r w:rsidR="00221A62" w:rsidRPr="00126B2F">
        <w:rPr>
          <w:rFonts w:asciiTheme="minorHAnsi" w:hAnsiTheme="minorHAnsi" w:cs="Times New Roman"/>
          <w:sz w:val="24"/>
          <w:szCs w:val="24"/>
          <w:lang w:val="en-GB"/>
        </w:rPr>
        <w:t>, M.</w:t>
      </w:r>
      <w:r w:rsidRPr="00126B2F">
        <w:rPr>
          <w:rFonts w:asciiTheme="minorHAnsi" w:hAnsiTheme="minorHAnsi" w:cs="Times New Roman"/>
          <w:sz w:val="24"/>
          <w:szCs w:val="24"/>
          <w:lang w:val="en-GB"/>
        </w:rPr>
        <w:t xml:space="preserve"> </w:t>
      </w:r>
      <w:r w:rsidR="009E1B15">
        <w:rPr>
          <w:rFonts w:asciiTheme="minorHAnsi" w:hAnsiTheme="minorHAnsi" w:cs="Times New Roman"/>
          <w:sz w:val="24"/>
          <w:szCs w:val="24"/>
          <w:lang w:val="en-GB"/>
        </w:rPr>
        <w:t>&amp;</w:t>
      </w:r>
      <w:r w:rsidRPr="00126B2F">
        <w:rPr>
          <w:rFonts w:asciiTheme="minorHAnsi" w:hAnsiTheme="minorHAnsi" w:cs="Times New Roman"/>
          <w:sz w:val="24"/>
          <w:szCs w:val="24"/>
          <w:lang w:val="en-GB"/>
        </w:rPr>
        <w:t xml:space="preserve"> Simpson</w:t>
      </w:r>
      <w:r w:rsidR="00221A62" w:rsidRPr="00126B2F">
        <w:rPr>
          <w:rFonts w:asciiTheme="minorHAnsi" w:hAnsiTheme="minorHAnsi" w:cs="Times New Roman"/>
          <w:sz w:val="24"/>
          <w:szCs w:val="24"/>
          <w:lang w:val="en-GB"/>
        </w:rPr>
        <w:t>, C.</w:t>
      </w:r>
      <w:r w:rsidRPr="00126B2F">
        <w:rPr>
          <w:rFonts w:asciiTheme="minorHAnsi" w:hAnsiTheme="minorHAnsi" w:cs="Times New Roman"/>
          <w:sz w:val="24"/>
          <w:szCs w:val="24"/>
          <w:lang w:val="en-GB"/>
        </w:rPr>
        <w:t xml:space="preserve"> (1996)</w:t>
      </w:r>
      <w:r w:rsidR="009E1B15">
        <w:rPr>
          <w:rFonts w:asciiTheme="minorHAnsi" w:hAnsiTheme="minorHAnsi" w:cs="Times New Roman"/>
          <w:sz w:val="24"/>
          <w:szCs w:val="24"/>
          <w:lang w:val="en-GB"/>
        </w:rPr>
        <w:t>.</w:t>
      </w:r>
      <w:r w:rsidR="00221A62" w:rsidRPr="00126B2F">
        <w:rPr>
          <w:rFonts w:asciiTheme="minorHAnsi" w:hAnsiTheme="minorHAnsi" w:cs="Times New Roman"/>
          <w:sz w:val="24"/>
          <w:szCs w:val="24"/>
          <w:lang w:val="en-GB"/>
        </w:rPr>
        <w:t xml:space="preserve"> Rewards to academia: the remuneration of vice chancellors and principals, </w:t>
      </w:r>
      <w:r w:rsidR="00221A62" w:rsidRPr="00126B2F">
        <w:rPr>
          <w:rFonts w:asciiTheme="minorHAnsi" w:hAnsiTheme="minorHAnsi" w:cs="Times New Roman"/>
          <w:i/>
          <w:iCs/>
          <w:sz w:val="24"/>
          <w:szCs w:val="24"/>
          <w:lang w:val="en-GB"/>
        </w:rPr>
        <w:t xml:space="preserve">Applied Economics, </w:t>
      </w:r>
      <w:r w:rsidR="00221A62" w:rsidRPr="00126B2F">
        <w:rPr>
          <w:rFonts w:asciiTheme="minorHAnsi" w:hAnsiTheme="minorHAnsi" w:cs="Times New Roman"/>
          <w:sz w:val="24"/>
          <w:szCs w:val="24"/>
          <w:lang w:val="en-GB"/>
        </w:rPr>
        <w:t xml:space="preserve"> 28, 631-9</w:t>
      </w:r>
      <w:r w:rsidR="00054458">
        <w:rPr>
          <w:rFonts w:asciiTheme="minorHAnsi" w:hAnsiTheme="minorHAnsi" w:cs="Times New Roman"/>
          <w:sz w:val="24"/>
          <w:szCs w:val="24"/>
          <w:lang w:val="en-GB"/>
        </w:rPr>
        <w:t>.</w:t>
      </w:r>
    </w:p>
    <w:p w14:paraId="22907C5B" w14:textId="77777777" w:rsidR="003C0DE5" w:rsidRPr="00126B2F" w:rsidRDefault="003C0DE5" w:rsidP="00F7771F">
      <w:pPr>
        <w:pStyle w:val="EndNoteBibliography"/>
        <w:spacing w:after="0" w:line="360" w:lineRule="auto"/>
        <w:rPr>
          <w:rFonts w:asciiTheme="minorHAnsi" w:hAnsiTheme="minorHAnsi" w:cs="Times New Roman"/>
          <w:sz w:val="24"/>
          <w:szCs w:val="24"/>
          <w:lang w:val="en-GB"/>
        </w:rPr>
      </w:pPr>
    </w:p>
    <w:p w14:paraId="0EB1CA23" w14:textId="2B960918"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lastRenderedPageBreak/>
        <w:t>Baird, J</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2006</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'Beyond professionalisation: enhancing the governance culture for Australian university governing boards'</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Tertiary Education and Management</w:t>
      </w:r>
      <w:r w:rsidR="004B0BDD"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12</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4</w:t>
      </w:r>
      <w:r w:rsidR="004B0BDD"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297-309.</w:t>
      </w:r>
    </w:p>
    <w:p w14:paraId="55A453E4"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1C332DFE" w14:textId="20887885"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Balago, G</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S</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2014</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 conceptual review of agency models of performance evaluation'</w:t>
      </w:r>
      <w:r w:rsidR="004B0BDD"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International Journa of Finance and Accounting</w:t>
      </w:r>
      <w:r w:rsidRPr="00126B2F">
        <w:rPr>
          <w:rFonts w:asciiTheme="minorHAnsi" w:hAnsiTheme="minorHAnsi" w:cs="Times New Roman"/>
          <w:sz w:val="24"/>
          <w:szCs w:val="24"/>
          <w:lang w:val="en-GB"/>
        </w:rPr>
        <w:t>, 3</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4</w:t>
      </w:r>
      <w:r w:rsidR="004B0BDD"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244-52.</w:t>
      </w:r>
    </w:p>
    <w:p w14:paraId="72782CC8"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075AE7C0" w14:textId="46010601"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Berle, A</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A</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Means, G</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C</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1968 [1932]</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Modern Corporation and Private Property</w:t>
      </w:r>
      <w:r w:rsidR="00135802" w:rsidRPr="00126B2F">
        <w:rPr>
          <w:rFonts w:asciiTheme="minorHAnsi" w:hAnsiTheme="minorHAnsi" w:cs="Times New Roman"/>
          <w:i/>
          <w:iCs/>
          <w:sz w:val="24"/>
          <w:szCs w:val="24"/>
          <w:lang w:val="en-GB"/>
        </w:rPr>
        <w:t>.</w:t>
      </w:r>
      <w:r w:rsidRPr="00126B2F">
        <w:rPr>
          <w:rFonts w:asciiTheme="minorHAnsi" w:hAnsiTheme="minorHAnsi" w:cs="Times New Roman"/>
          <w:i/>
          <w:iCs/>
          <w:sz w:val="24"/>
          <w:szCs w:val="24"/>
          <w:lang w:val="en-GB"/>
        </w:rPr>
        <w:t xml:space="preserve"> </w:t>
      </w:r>
      <w:r w:rsidR="00135802" w:rsidRPr="00126B2F">
        <w:rPr>
          <w:rFonts w:asciiTheme="minorHAnsi" w:hAnsiTheme="minorHAnsi" w:cs="Times New Roman"/>
          <w:sz w:val="24"/>
          <w:szCs w:val="24"/>
          <w:lang w:val="en-GB"/>
        </w:rPr>
        <w:t xml:space="preserve">New York: </w:t>
      </w:r>
      <w:r w:rsidRPr="00126B2F">
        <w:rPr>
          <w:rFonts w:asciiTheme="minorHAnsi" w:hAnsiTheme="minorHAnsi" w:cs="Times New Roman"/>
          <w:sz w:val="24"/>
          <w:szCs w:val="24"/>
          <w:lang w:val="en-GB"/>
        </w:rPr>
        <w:t>Commerce Clearing House.</w:t>
      </w:r>
    </w:p>
    <w:p w14:paraId="4579643A"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D06D6BE" w14:textId="3D11FBF0"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Blackmore, J</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Brennan, M</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Zipin, L</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2010</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'Repositioning university governance and academic work: an overview'</w:t>
      </w:r>
      <w:r w:rsidR="00135802" w:rsidRPr="00126B2F">
        <w:rPr>
          <w:rFonts w:asciiTheme="minorHAnsi" w:hAnsiTheme="minorHAnsi" w:cs="Times New Roman"/>
          <w:sz w:val="24"/>
          <w:szCs w:val="24"/>
          <w:lang w:val="en-GB"/>
        </w:rPr>
        <w:t>. I</w:t>
      </w:r>
      <w:r w:rsidRPr="00126B2F">
        <w:rPr>
          <w:rFonts w:asciiTheme="minorHAnsi" w:hAnsiTheme="minorHAnsi" w:cs="Times New Roman"/>
          <w:sz w:val="24"/>
          <w:szCs w:val="24"/>
          <w:lang w:val="en-GB"/>
        </w:rPr>
        <w:t>n J</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Blackmore, M</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Brennan &amp; L</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Zipin (</w:t>
      </w:r>
      <w:r w:rsidR="00135802" w:rsidRPr="00126B2F">
        <w:rPr>
          <w:rFonts w:asciiTheme="minorHAnsi" w:hAnsiTheme="minorHAnsi" w:cs="Times New Roman"/>
          <w:sz w:val="24"/>
          <w:szCs w:val="24"/>
          <w:lang w:val="en-GB"/>
        </w:rPr>
        <w:t>E</w:t>
      </w:r>
      <w:r w:rsidRPr="00126B2F">
        <w:rPr>
          <w:rFonts w:asciiTheme="minorHAnsi" w:hAnsiTheme="minorHAnsi" w:cs="Times New Roman"/>
          <w:sz w:val="24"/>
          <w:szCs w:val="24"/>
          <w:lang w:val="en-GB"/>
        </w:rPr>
        <w:t>d</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Re-Positioning University Governance and Academic Work</w:t>
      </w:r>
      <w:r w:rsidR="0013580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135802" w:rsidRPr="00126B2F">
        <w:rPr>
          <w:rFonts w:asciiTheme="minorHAnsi" w:hAnsiTheme="minorHAnsi" w:cs="Times New Roman"/>
          <w:sz w:val="24"/>
          <w:szCs w:val="24"/>
          <w:lang w:val="en-GB"/>
        </w:rPr>
        <w:t xml:space="preserve">Rotterdam: </w:t>
      </w:r>
      <w:r w:rsidRPr="00126B2F">
        <w:rPr>
          <w:rFonts w:asciiTheme="minorHAnsi" w:hAnsiTheme="minorHAnsi" w:cs="Times New Roman"/>
          <w:sz w:val="24"/>
          <w:szCs w:val="24"/>
          <w:lang w:val="en-GB"/>
        </w:rPr>
        <w:t>Sense, 1-16.</w:t>
      </w:r>
    </w:p>
    <w:p w14:paraId="603EF1E8"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8C20FD9" w14:textId="77777777" w:rsidR="0096005E" w:rsidRDefault="0096005E" w:rsidP="0096005E">
      <w:pPr>
        <w:pStyle w:val="EndNoteBibliography"/>
        <w:spacing w:after="0"/>
        <w:rPr>
          <w:rFonts w:asciiTheme="minorHAnsi" w:hAnsiTheme="minorHAnsi" w:cs="Times New Roman"/>
          <w:sz w:val="24"/>
          <w:szCs w:val="24"/>
          <w:lang w:val="en-AU"/>
        </w:rPr>
      </w:pPr>
      <w:r w:rsidRPr="003C46B2">
        <w:rPr>
          <w:rFonts w:asciiTheme="minorHAnsi" w:hAnsiTheme="minorHAnsi" w:cs="Times New Roman"/>
          <w:sz w:val="24"/>
          <w:szCs w:val="24"/>
          <w:lang w:val="en-AU"/>
        </w:rPr>
        <w:t xml:space="preserve">Blanchflower, D 2017, 'University vice-chancellors deserve more pay not less', </w:t>
      </w:r>
      <w:r w:rsidRPr="003C46B2">
        <w:rPr>
          <w:rFonts w:asciiTheme="minorHAnsi" w:hAnsiTheme="minorHAnsi" w:cs="Times New Roman"/>
          <w:i/>
          <w:iCs/>
          <w:sz w:val="24"/>
          <w:szCs w:val="24"/>
          <w:lang w:val="en-AU"/>
        </w:rPr>
        <w:t>The Guardian</w:t>
      </w:r>
      <w:r w:rsidRPr="003C46B2">
        <w:rPr>
          <w:rFonts w:asciiTheme="minorHAnsi" w:hAnsiTheme="minorHAnsi" w:cs="Times New Roman"/>
          <w:sz w:val="24"/>
          <w:szCs w:val="24"/>
          <w:lang w:val="en-AU"/>
        </w:rPr>
        <w:t>, 22 November 2017.</w:t>
      </w:r>
    </w:p>
    <w:p w14:paraId="270B3000" w14:textId="77777777" w:rsidR="0096005E" w:rsidRDefault="0096005E" w:rsidP="00F7771F">
      <w:pPr>
        <w:pStyle w:val="EndNoteBibliography"/>
        <w:spacing w:after="0" w:line="360" w:lineRule="auto"/>
        <w:rPr>
          <w:rFonts w:asciiTheme="minorHAnsi" w:hAnsiTheme="minorHAnsi" w:cs="Times New Roman"/>
          <w:sz w:val="24"/>
          <w:szCs w:val="24"/>
          <w:lang w:val="en-AU"/>
        </w:rPr>
      </w:pPr>
    </w:p>
    <w:p w14:paraId="69D34C29" w14:textId="675445EB"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Boden, R</w:t>
      </w:r>
      <w:r w:rsidR="00ED488A"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&amp; Wright, S</w:t>
      </w:r>
      <w:r w:rsidR="00ED488A"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ED488A"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2010</w:t>
      </w:r>
      <w:r w:rsidR="00ED488A"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Follow the money: an interim report on Danish university funding</w:t>
      </w:r>
      <w:r w:rsidR="00ED488A"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Copenhagen</w:t>
      </w:r>
      <w:r w:rsidR="00ED488A" w:rsidRPr="00126B2F">
        <w:rPr>
          <w:rFonts w:asciiTheme="minorHAnsi" w:hAnsiTheme="minorHAnsi" w:cs="Times New Roman"/>
          <w:sz w:val="24"/>
          <w:szCs w:val="24"/>
          <w:lang w:val="en-GB"/>
        </w:rPr>
        <w:t>: Aarhus University.</w:t>
      </w:r>
    </w:p>
    <w:p w14:paraId="6A1DBCE6"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4286FDBC" w14:textId="022F3815" w:rsidR="00932283" w:rsidRPr="00126B2F" w:rsidRDefault="00D24EB8"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Cadbury</w:t>
      </w:r>
      <w:r w:rsidR="00054458">
        <w:rPr>
          <w:rFonts w:asciiTheme="minorHAnsi" w:hAnsiTheme="minorHAnsi" w:cs="Times New Roman"/>
          <w:sz w:val="24"/>
          <w:szCs w:val="24"/>
          <w:lang w:val="en-GB"/>
        </w:rPr>
        <w:t>, A</w:t>
      </w:r>
      <w:r w:rsidRPr="00126B2F">
        <w:rPr>
          <w:rFonts w:asciiTheme="minorHAnsi" w:hAnsiTheme="minorHAnsi" w:cs="Times New Roman"/>
          <w:sz w:val="24"/>
          <w:szCs w:val="24"/>
          <w:lang w:val="en-GB"/>
        </w:rPr>
        <w:t xml:space="preserve">. (1992). </w:t>
      </w:r>
      <w:r w:rsidR="00ED488A" w:rsidRPr="00126B2F">
        <w:rPr>
          <w:rFonts w:asciiTheme="minorHAnsi" w:hAnsiTheme="minorHAnsi" w:cs="Times New Roman"/>
          <w:sz w:val="24"/>
          <w:szCs w:val="24"/>
          <w:lang w:val="en-GB"/>
        </w:rPr>
        <w:t>Committee on the Financial Aspects of Corporate Governance.</w:t>
      </w:r>
      <w:r w:rsidR="00932283" w:rsidRPr="00126B2F">
        <w:rPr>
          <w:rFonts w:asciiTheme="minorHAnsi" w:hAnsiTheme="minorHAnsi" w:cs="Times New Roman"/>
          <w:sz w:val="24"/>
          <w:szCs w:val="24"/>
          <w:lang w:val="en-GB"/>
        </w:rPr>
        <w:t xml:space="preserve"> </w:t>
      </w:r>
      <w:r w:rsidR="00932283" w:rsidRPr="00126B2F">
        <w:rPr>
          <w:rFonts w:asciiTheme="minorHAnsi" w:hAnsiTheme="minorHAnsi" w:cs="Times New Roman"/>
          <w:i/>
          <w:sz w:val="24"/>
          <w:szCs w:val="24"/>
          <w:lang w:val="en-GB"/>
        </w:rPr>
        <w:t>Report of the Committee on the financial aspects of corporate governance</w:t>
      </w:r>
      <w:r w:rsidR="00ED488A" w:rsidRPr="00126B2F">
        <w:rPr>
          <w:rFonts w:asciiTheme="minorHAnsi" w:hAnsiTheme="minorHAnsi" w:cs="Times New Roman"/>
          <w:i/>
          <w:sz w:val="24"/>
          <w:szCs w:val="24"/>
          <w:lang w:val="en-GB"/>
        </w:rPr>
        <w:t xml:space="preserve"> [Cadbury Report]</w:t>
      </w:r>
      <w:r w:rsidR="00ED488A" w:rsidRPr="00126B2F">
        <w:rPr>
          <w:rFonts w:asciiTheme="minorHAnsi" w:hAnsiTheme="minorHAnsi" w:cs="Times New Roman"/>
          <w:sz w:val="24"/>
          <w:szCs w:val="24"/>
          <w:lang w:val="en-GB"/>
        </w:rPr>
        <w:t xml:space="preserve">. </w:t>
      </w:r>
      <w:r w:rsidR="00932283" w:rsidRPr="00126B2F">
        <w:rPr>
          <w:rFonts w:asciiTheme="minorHAnsi" w:hAnsiTheme="minorHAnsi" w:cs="Times New Roman"/>
          <w:sz w:val="24"/>
          <w:szCs w:val="24"/>
          <w:lang w:val="en-GB"/>
        </w:rPr>
        <w:t>Committee on the Financial Aspects of Corporate Governance, London:</w:t>
      </w:r>
      <w:r w:rsidR="00ED488A" w:rsidRPr="00126B2F">
        <w:rPr>
          <w:rFonts w:asciiTheme="minorHAnsi" w:hAnsiTheme="minorHAnsi" w:cs="Times New Roman"/>
          <w:sz w:val="24"/>
          <w:szCs w:val="24"/>
          <w:lang w:val="en-GB"/>
        </w:rPr>
        <w:t xml:space="preserve"> </w:t>
      </w:r>
      <w:r w:rsidR="00932283" w:rsidRPr="00126B2F">
        <w:rPr>
          <w:rFonts w:asciiTheme="minorHAnsi" w:hAnsiTheme="minorHAnsi" w:cs="Times New Roman"/>
          <w:sz w:val="24"/>
          <w:szCs w:val="24"/>
          <w:lang w:val="en-GB"/>
        </w:rPr>
        <w:t>Professional Publishing Ltd</w:t>
      </w:r>
      <w:r w:rsidR="00ED488A" w:rsidRPr="00126B2F">
        <w:rPr>
          <w:rFonts w:asciiTheme="minorHAnsi" w:hAnsiTheme="minorHAnsi" w:cs="Times New Roman"/>
          <w:sz w:val="24"/>
          <w:szCs w:val="24"/>
          <w:lang w:val="en-GB"/>
        </w:rPr>
        <w:t>.</w:t>
      </w:r>
      <w:r w:rsidR="00932283" w:rsidRPr="00126B2F">
        <w:rPr>
          <w:rFonts w:asciiTheme="minorHAnsi" w:hAnsiTheme="minorHAnsi" w:cs="Times New Roman"/>
          <w:sz w:val="24"/>
          <w:szCs w:val="24"/>
          <w:lang w:val="en-GB"/>
        </w:rPr>
        <w:t xml:space="preserve"> </w:t>
      </w:r>
      <w:r w:rsidR="00932283" w:rsidRPr="00126B2F">
        <w:rPr>
          <w:rStyle w:val="Hyperlink"/>
          <w:rFonts w:asciiTheme="minorHAnsi" w:hAnsiTheme="minorHAnsi" w:cs="Times New Roman"/>
          <w:color w:val="auto"/>
          <w:sz w:val="24"/>
          <w:szCs w:val="24"/>
          <w:u w:val="none"/>
          <w:lang w:val="en-GB"/>
        </w:rPr>
        <w:t>http://www.ecgi.org/codes/documents/cadbury.pdf</w:t>
      </w:r>
      <w:r w:rsidR="00ED488A" w:rsidRPr="00126B2F">
        <w:rPr>
          <w:rFonts w:asciiTheme="minorHAnsi" w:hAnsiTheme="minorHAnsi" w:cs="Times New Roman"/>
          <w:sz w:val="24"/>
          <w:szCs w:val="24"/>
          <w:lang w:val="en-GB"/>
        </w:rPr>
        <w:t>.</w:t>
      </w:r>
      <w:r w:rsidR="00932283" w:rsidRPr="00126B2F">
        <w:rPr>
          <w:rFonts w:asciiTheme="minorHAnsi" w:hAnsiTheme="minorHAnsi" w:cs="Times New Roman"/>
          <w:sz w:val="24"/>
          <w:szCs w:val="24"/>
          <w:lang w:val="en-GB"/>
        </w:rPr>
        <w:t xml:space="preserve"> Accessed 10 January 2019.</w:t>
      </w:r>
    </w:p>
    <w:p w14:paraId="4FC0E672"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36557264" w14:textId="3832AA15"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Cheng, S</w:t>
      </w:r>
      <w:r w:rsidR="00ED488A"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ED488A"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2014</w:t>
      </w:r>
      <w:r w:rsidR="00ED488A"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'Executive compensation in public higher education: does performance matter?'</w:t>
      </w:r>
      <w:r w:rsidR="00ED488A"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Research in Higher Education</w:t>
      </w:r>
      <w:r w:rsidRPr="00126B2F">
        <w:rPr>
          <w:rFonts w:asciiTheme="minorHAnsi" w:hAnsiTheme="minorHAnsi" w:cs="Times New Roman"/>
          <w:sz w:val="24"/>
          <w:szCs w:val="24"/>
          <w:lang w:val="en-GB"/>
        </w:rPr>
        <w:t>, 55</w:t>
      </w:r>
      <w:r w:rsidR="00ED488A" w:rsidRPr="00126B2F">
        <w:rPr>
          <w:rFonts w:asciiTheme="minorHAnsi" w:hAnsiTheme="minorHAnsi" w:cs="Times New Roman"/>
          <w:sz w:val="24"/>
          <w:szCs w:val="24"/>
          <w:lang w:val="en-GB"/>
        </w:rPr>
        <w:t>(6)</w:t>
      </w:r>
      <w:r w:rsidRPr="00126B2F">
        <w:rPr>
          <w:rFonts w:asciiTheme="minorHAnsi" w:hAnsiTheme="minorHAnsi" w:cs="Times New Roman"/>
          <w:sz w:val="24"/>
          <w:szCs w:val="24"/>
          <w:lang w:val="en-GB"/>
        </w:rPr>
        <w:t>,</w:t>
      </w:r>
      <w:r w:rsidR="00ED488A"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581–600.</w:t>
      </w:r>
    </w:p>
    <w:p w14:paraId="07122B0B"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F09E7C3" w14:textId="48DDF747"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Committee on Australian universities</w:t>
      </w:r>
      <w:r w:rsidR="00673E4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673E4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1957</w:t>
      </w:r>
      <w:r w:rsidR="00673E4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 xml:space="preserve">Report of the Committee on Australian Universities </w:t>
      </w:r>
      <w:r w:rsidR="00673E42" w:rsidRPr="00126B2F">
        <w:rPr>
          <w:rFonts w:asciiTheme="minorHAnsi" w:hAnsiTheme="minorHAnsi" w:cs="Times New Roman"/>
          <w:i/>
          <w:sz w:val="24"/>
          <w:szCs w:val="24"/>
          <w:lang w:val="en-GB"/>
        </w:rPr>
        <w:t>[</w:t>
      </w:r>
      <w:r w:rsidRPr="00126B2F">
        <w:rPr>
          <w:rFonts w:asciiTheme="minorHAnsi" w:hAnsiTheme="minorHAnsi" w:cs="Times New Roman"/>
          <w:i/>
          <w:sz w:val="24"/>
          <w:szCs w:val="24"/>
          <w:lang w:val="en-GB"/>
        </w:rPr>
        <w:t>Murrary Report</w:t>
      </w:r>
      <w:r w:rsidR="00673E42" w:rsidRPr="00126B2F">
        <w:rPr>
          <w:rFonts w:asciiTheme="minorHAnsi" w:hAnsiTheme="minorHAnsi" w:cs="Times New Roman"/>
          <w:i/>
          <w:sz w:val="24"/>
          <w:szCs w:val="24"/>
          <w:lang w:val="en-GB"/>
        </w:rPr>
        <w:t>]</w:t>
      </w:r>
      <w:r w:rsidR="00673E42" w:rsidRPr="00126B2F">
        <w:rPr>
          <w:rFonts w:asciiTheme="minorHAnsi" w:hAnsiTheme="minorHAnsi" w:cs="Times New Roman"/>
          <w:sz w:val="24"/>
          <w:szCs w:val="24"/>
          <w:lang w:val="en-GB"/>
        </w:rPr>
        <w:t xml:space="preserve">. Canberra: </w:t>
      </w:r>
      <w:r w:rsidRPr="00126B2F">
        <w:rPr>
          <w:rFonts w:asciiTheme="minorHAnsi" w:hAnsiTheme="minorHAnsi" w:cs="Times New Roman"/>
          <w:sz w:val="24"/>
          <w:szCs w:val="24"/>
          <w:lang w:val="en-GB"/>
        </w:rPr>
        <w:t>Commonwealth of Australia.</w:t>
      </w:r>
    </w:p>
    <w:p w14:paraId="1A0D0879"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010ABB44" w14:textId="683520C9"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lastRenderedPageBreak/>
        <w:t>CUC</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2018</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The Higher Education Senior Staff Remuneration Code</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London</w:t>
      </w:r>
      <w:r w:rsidR="00793BE6" w:rsidRPr="00126B2F">
        <w:rPr>
          <w:rFonts w:asciiTheme="minorHAnsi" w:hAnsiTheme="minorHAnsi" w:cs="Times New Roman"/>
          <w:sz w:val="24"/>
          <w:szCs w:val="24"/>
          <w:lang w:val="en-GB"/>
        </w:rPr>
        <w:t>: Committee of University Chairs. https://www.universitychairs.ac.uk/higher-education-remuneration-code-2/. Accessed 14 December, 2018.</w:t>
      </w:r>
    </w:p>
    <w:p w14:paraId="13BEC0C0"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17F53D33" w14:textId="6E61DECC" w:rsidR="00932283" w:rsidRPr="00126B2F" w:rsidRDefault="00932283" w:rsidP="00F7771F">
      <w:pPr>
        <w:spacing w:line="360" w:lineRule="auto"/>
        <w:rPr>
          <w:rFonts w:eastAsia="Times New Roman" w:cs="Times New Roman"/>
          <w:sz w:val="24"/>
          <w:szCs w:val="24"/>
          <w:lang w:eastAsia="fi-FI"/>
        </w:rPr>
      </w:pPr>
      <w:r w:rsidRPr="00126B2F">
        <w:rPr>
          <w:rFonts w:cs="Times New Roman"/>
          <w:sz w:val="24"/>
          <w:szCs w:val="24"/>
        </w:rPr>
        <w:t>CVCP</w:t>
      </w:r>
      <w:r w:rsidR="00120C7E" w:rsidRPr="00126B2F">
        <w:rPr>
          <w:rFonts w:cs="Times New Roman"/>
          <w:sz w:val="24"/>
          <w:szCs w:val="24"/>
        </w:rPr>
        <w:t>.</w:t>
      </w:r>
      <w:r w:rsidRPr="00126B2F">
        <w:rPr>
          <w:rFonts w:cs="Times New Roman"/>
          <w:sz w:val="24"/>
          <w:szCs w:val="24"/>
        </w:rPr>
        <w:t xml:space="preserve"> </w:t>
      </w:r>
      <w:r w:rsidR="00120C7E" w:rsidRPr="00126B2F">
        <w:rPr>
          <w:rFonts w:cs="Times New Roman"/>
          <w:sz w:val="24"/>
          <w:szCs w:val="24"/>
        </w:rPr>
        <w:t>(</w:t>
      </w:r>
      <w:r w:rsidRPr="00126B2F">
        <w:rPr>
          <w:rFonts w:cs="Times New Roman"/>
          <w:sz w:val="24"/>
          <w:szCs w:val="24"/>
        </w:rPr>
        <w:t>1985</w:t>
      </w:r>
      <w:r w:rsidR="00120C7E" w:rsidRPr="00126B2F">
        <w:rPr>
          <w:rFonts w:cs="Times New Roman"/>
          <w:sz w:val="24"/>
          <w:szCs w:val="24"/>
        </w:rPr>
        <w:t>).</w:t>
      </w:r>
      <w:r w:rsidRPr="00126B2F">
        <w:rPr>
          <w:rFonts w:cs="Times New Roman"/>
          <w:sz w:val="24"/>
          <w:szCs w:val="24"/>
        </w:rPr>
        <w:t xml:space="preserve"> </w:t>
      </w:r>
      <w:r w:rsidRPr="00126B2F">
        <w:rPr>
          <w:rFonts w:eastAsia="Times New Roman" w:cs="Times New Roman"/>
          <w:sz w:val="24"/>
          <w:szCs w:val="24"/>
          <w:lang w:eastAsia="fi-FI"/>
        </w:rPr>
        <w:t>Report of the Steering Committee for Efficiency Studies in Universities</w:t>
      </w:r>
      <w:r w:rsidR="00120C7E" w:rsidRPr="00126B2F">
        <w:rPr>
          <w:rFonts w:eastAsia="Times New Roman" w:cs="Times New Roman"/>
          <w:sz w:val="24"/>
          <w:szCs w:val="24"/>
          <w:lang w:eastAsia="fi-FI"/>
        </w:rPr>
        <w:t xml:space="preserve"> [Jarratt Report].</w:t>
      </w:r>
      <w:r w:rsidRPr="00126B2F">
        <w:rPr>
          <w:rFonts w:eastAsia="Times New Roman" w:cs="Times New Roman"/>
          <w:sz w:val="24"/>
          <w:szCs w:val="24"/>
          <w:lang w:eastAsia="fi-FI"/>
        </w:rPr>
        <w:t> Committee of Vice-Chancellors and Principals</w:t>
      </w:r>
      <w:r w:rsidR="00120C7E" w:rsidRPr="00126B2F">
        <w:rPr>
          <w:rFonts w:eastAsia="Times New Roman" w:cs="Times New Roman"/>
          <w:sz w:val="24"/>
          <w:szCs w:val="24"/>
          <w:lang w:eastAsia="fi-FI"/>
        </w:rPr>
        <w:t xml:space="preserve">. http://www.educationengland.org.uk/documents/jarratt1985/index.html. Accessed </w:t>
      </w:r>
      <w:r w:rsidRPr="00126B2F">
        <w:rPr>
          <w:rFonts w:eastAsia="Times New Roman" w:cs="Times New Roman"/>
          <w:sz w:val="24"/>
          <w:szCs w:val="24"/>
          <w:lang w:eastAsia="fi-FI"/>
        </w:rPr>
        <w:t>25 January 2019</w:t>
      </w:r>
      <w:r w:rsidR="00120C7E" w:rsidRPr="00126B2F">
        <w:rPr>
          <w:rFonts w:eastAsia="Times New Roman" w:cs="Times New Roman"/>
          <w:sz w:val="24"/>
          <w:szCs w:val="24"/>
          <w:lang w:eastAsia="fi-FI"/>
        </w:rPr>
        <w:t>.</w:t>
      </w:r>
      <w:r w:rsidRPr="00126B2F">
        <w:rPr>
          <w:rFonts w:eastAsia="Times New Roman" w:cs="Times New Roman"/>
          <w:sz w:val="24"/>
          <w:szCs w:val="24"/>
          <w:lang w:eastAsia="fi-FI"/>
        </w:rPr>
        <w:t xml:space="preserve"> </w:t>
      </w:r>
    </w:p>
    <w:p w14:paraId="36399C64" w14:textId="45753EB6" w:rsidR="00932283" w:rsidRPr="00126B2F" w:rsidRDefault="00932283" w:rsidP="00F7771F">
      <w:pPr>
        <w:autoSpaceDE w:val="0"/>
        <w:autoSpaceDN w:val="0"/>
        <w:adjustRightInd w:val="0"/>
        <w:spacing w:after="0" w:line="360" w:lineRule="auto"/>
        <w:rPr>
          <w:rFonts w:cs="Times New Roman"/>
          <w:sz w:val="24"/>
          <w:szCs w:val="24"/>
        </w:rPr>
      </w:pPr>
      <w:r w:rsidRPr="00126B2F">
        <w:rPr>
          <w:rFonts w:cs="Times New Roman"/>
          <w:sz w:val="24"/>
          <w:szCs w:val="24"/>
        </w:rPr>
        <w:t>Davis, J</w:t>
      </w:r>
      <w:r w:rsidR="00120C7E" w:rsidRPr="00126B2F">
        <w:rPr>
          <w:rFonts w:cs="Times New Roman"/>
          <w:sz w:val="24"/>
          <w:szCs w:val="24"/>
        </w:rPr>
        <w:t>.</w:t>
      </w:r>
      <w:r w:rsidRPr="00126B2F">
        <w:rPr>
          <w:rFonts w:cs="Times New Roman"/>
          <w:sz w:val="24"/>
          <w:szCs w:val="24"/>
        </w:rPr>
        <w:t>H</w:t>
      </w:r>
      <w:r w:rsidR="00120C7E" w:rsidRPr="00126B2F">
        <w:rPr>
          <w:rFonts w:cs="Times New Roman"/>
          <w:sz w:val="24"/>
          <w:szCs w:val="24"/>
        </w:rPr>
        <w:t xml:space="preserve">., </w:t>
      </w:r>
      <w:r w:rsidRPr="00126B2F">
        <w:rPr>
          <w:rFonts w:cs="Times New Roman"/>
          <w:noProof/>
          <w:sz w:val="24"/>
          <w:szCs w:val="24"/>
        </w:rPr>
        <w:t>Schoorman</w:t>
      </w:r>
      <w:r w:rsidRPr="00126B2F">
        <w:rPr>
          <w:rFonts w:cs="Times New Roman"/>
          <w:sz w:val="24"/>
          <w:szCs w:val="24"/>
        </w:rPr>
        <w:t>, F</w:t>
      </w:r>
      <w:r w:rsidR="00120C7E" w:rsidRPr="00126B2F">
        <w:rPr>
          <w:rFonts w:cs="Times New Roman"/>
          <w:sz w:val="24"/>
          <w:szCs w:val="24"/>
        </w:rPr>
        <w:t>.</w:t>
      </w:r>
      <w:r w:rsidRPr="00126B2F">
        <w:rPr>
          <w:rFonts w:cs="Times New Roman"/>
          <w:sz w:val="24"/>
          <w:szCs w:val="24"/>
        </w:rPr>
        <w:t>D</w:t>
      </w:r>
      <w:r w:rsidR="00120C7E" w:rsidRPr="00126B2F">
        <w:rPr>
          <w:rFonts w:cs="Times New Roman"/>
          <w:sz w:val="24"/>
          <w:szCs w:val="24"/>
        </w:rPr>
        <w:t>.,</w:t>
      </w:r>
      <w:r w:rsidRPr="00126B2F">
        <w:rPr>
          <w:rFonts w:cs="Times New Roman"/>
          <w:sz w:val="24"/>
          <w:szCs w:val="24"/>
        </w:rPr>
        <w:t xml:space="preserve"> &amp; Donaldson, L</w:t>
      </w:r>
      <w:r w:rsidR="00120C7E" w:rsidRPr="00126B2F">
        <w:rPr>
          <w:rFonts w:cs="Times New Roman"/>
          <w:sz w:val="24"/>
          <w:szCs w:val="24"/>
        </w:rPr>
        <w:t>.</w:t>
      </w:r>
      <w:r w:rsidRPr="00126B2F">
        <w:rPr>
          <w:rFonts w:cs="Times New Roman"/>
          <w:sz w:val="24"/>
          <w:szCs w:val="24"/>
        </w:rPr>
        <w:t xml:space="preserve"> </w:t>
      </w:r>
      <w:r w:rsidR="00120C7E" w:rsidRPr="00126B2F">
        <w:rPr>
          <w:rFonts w:cs="Times New Roman"/>
          <w:sz w:val="24"/>
          <w:szCs w:val="24"/>
        </w:rPr>
        <w:t>(</w:t>
      </w:r>
      <w:r w:rsidRPr="00126B2F">
        <w:rPr>
          <w:rFonts w:cs="Times New Roman"/>
          <w:sz w:val="24"/>
          <w:szCs w:val="24"/>
        </w:rPr>
        <w:t>1997</w:t>
      </w:r>
      <w:r w:rsidR="00120C7E" w:rsidRPr="00126B2F">
        <w:rPr>
          <w:rFonts w:cs="Times New Roman"/>
          <w:sz w:val="24"/>
          <w:szCs w:val="24"/>
        </w:rPr>
        <w:t>).</w:t>
      </w:r>
      <w:r w:rsidRPr="00126B2F">
        <w:rPr>
          <w:rFonts w:cs="Times New Roman"/>
          <w:sz w:val="24"/>
          <w:szCs w:val="24"/>
        </w:rPr>
        <w:t xml:space="preserve"> 'Toward a Stewardship Theory of Management'</w:t>
      </w:r>
      <w:r w:rsidR="00120C7E" w:rsidRPr="00126B2F">
        <w:rPr>
          <w:rFonts w:cs="Times New Roman"/>
          <w:sz w:val="24"/>
          <w:szCs w:val="24"/>
        </w:rPr>
        <w:t>.</w:t>
      </w:r>
      <w:r w:rsidRPr="00126B2F">
        <w:rPr>
          <w:rFonts w:cs="Times New Roman"/>
          <w:sz w:val="24"/>
          <w:szCs w:val="24"/>
        </w:rPr>
        <w:t xml:space="preserve"> </w:t>
      </w:r>
      <w:r w:rsidRPr="00126B2F">
        <w:rPr>
          <w:rFonts w:cs="Times New Roman"/>
          <w:i/>
          <w:iCs/>
          <w:sz w:val="24"/>
          <w:szCs w:val="24"/>
        </w:rPr>
        <w:t>The Academy of Management Review</w:t>
      </w:r>
      <w:r w:rsidRPr="00126B2F">
        <w:rPr>
          <w:rFonts w:cs="Times New Roman"/>
          <w:sz w:val="24"/>
          <w:szCs w:val="24"/>
        </w:rPr>
        <w:t>, 22</w:t>
      </w:r>
      <w:r w:rsidR="00120C7E" w:rsidRPr="00126B2F">
        <w:rPr>
          <w:rFonts w:cs="Times New Roman"/>
          <w:sz w:val="24"/>
          <w:szCs w:val="24"/>
        </w:rPr>
        <w:t>(</w:t>
      </w:r>
      <w:r w:rsidRPr="00126B2F">
        <w:rPr>
          <w:rFonts w:cs="Times New Roman"/>
          <w:sz w:val="24"/>
          <w:szCs w:val="24"/>
        </w:rPr>
        <w:t>1</w:t>
      </w:r>
      <w:r w:rsidR="00120C7E" w:rsidRPr="00126B2F">
        <w:rPr>
          <w:rFonts w:cs="Times New Roman"/>
          <w:sz w:val="24"/>
          <w:szCs w:val="24"/>
        </w:rPr>
        <w:t>0</w:t>
      </w:r>
      <w:r w:rsidR="00793BE6" w:rsidRPr="00126B2F">
        <w:rPr>
          <w:rFonts w:cs="Times New Roman"/>
          <w:sz w:val="24"/>
          <w:szCs w:val="24"/>
        </w:rPr>
        <w:t>)</w:t>
      </w:r>
      <w:r w:rsidRPr="00126B2F">
        <w:rPr>
          <w:rFonts w:cs="Times New Roman"/>
          <w:sz w:val="24"/>
          <w:szCs w:val="24"/>
        </w:rPr>
        <w:t>, 20-47.</w:t>
      </w:r>
    </w:p>
    <w:p w14:paraId="5B3175C4"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004E4FF1" w14:textId="5F17EC05"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DiPrete, T</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A</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Eirich, G</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M</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Pittinsky, M</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2010</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'Compensation Benchmarking, Leapfrogs, and the Surge in Executive Pay'</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American Journal of Sociology</w:t>
      </w:r>
      <w:r w:rsidR="00793BE6"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115</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6</w:t>
      </w:r>
      <w:r w:rsidR="00793BE6"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1671–712.</w:t>
      </w:r>
    </w:p>
    <w:p w14:paraId="575D7D22"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38965E1D" w14:textId="515F5D75"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Dodd, T</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2017</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'Simon Birmingham attacks university vice-chancellors' $1m salaries', </w:t>
      </w:r>
      <w:r w:rsidRPr="00126B2F">
        <w:rPr>
          <w:rFonts w:asciiTheme="minorHAnsi" w:hAnsiTheme="minorHAnsi" w:cs="Times New Roman"/>
          <w:i/>
          <w:iCs/>
          <w:sz w:val="24"/>
          <w:szCs w:val="24"/>
          <w:lang w:val="en-GB"/>
        </w:rPr>
        <w:t xml:space="preserve">The </w:t>
      </w:r>
      <w:r w:rsidR="00793BE6" w:rsidRPr="00126B2F">
        <w:rPr>
          <w:rFonts w:asciiTheme="minorHAnsi" w:hAnsiTheme="minorHAnsi" w:cs="Times New Roman"/>
          <w:i/>
          <w:iCs/>
          <w:sz w:val="24"/>
          <w:szCs w:val="24"/>
          <w:lang w:val="en-GB"/>
        </w:rPr>
        <w:t xml:space="preserve">Australian </w:t>
      </w:r>
      <w:r w:rsidRPr="00126B2F">
        <w:rPr>
          <w:rFonts w:asciiTheme="minorHAnsi" w:hAnsiTheme="minorHAnsi" w:cs="Times New Roman"/>
          <w:i/>
          <w:iCs/>
          <w:sz w:val="24"/>
          <w:szCs w:val="24"/>
          <w:lang w:val="en-GB"/>
        </w:rPr>
        <w:t>Financial Review</w:t>
      </w:r>
      <w:r w:rsidR="00793BE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1 May 2017</w:t>
      </w:r>
      <w:r w:rsidR="00793BE6"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 xml:space="preserve"> </w:t>
      </w:r>
      <w:r w:rsidR="00793BE6" w:rsidRPr="00126B2F">
        <w:rPr>
          <w:rFonts w:asciiTheme="minorHAnsi" w:hAnsiTheme="minorHAnsi" w:cs="Times New Roman"/>
          <w:sz w:val="24"/>
          <w:szCs w:val="24"/>
          <w:lang w:val="en-GB"/>
        </w:rPr>
        <w:t>https://www.afr.com/news/policy/budget/simon-birmingham-attacks-university-vicechancellors-1m-salaries-20170501-gvw3lg</w:t>
      </w:r>
      <w:r w:rsidR="00793BE6" w:rsidRPr="00126B2F">
        <w:rPr>
          <w:rStyle w:val="Hyperlink"/>
          <w:rFonts w:asciiTheme="minorHAnsi" w:hAnsiTheme="minorHAnsi" w:cs="Times New Roman"/>
          <w:color w:val="auto"/>
          <w:sz w:val="24"/>
          <w:szCs w:val="24"/>
          <w:u w:val="none"/>
          <w:lang w:val="en-GB"/>
        </w:rPr>
        <w:t>.  Accessed 27 May 2018.</w:t>
      </w:r>
    </w:p>
    <w:p w14:paraId="7BA561D0"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12A65C41" w14:textId="5EF6DCFE"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Donaldson, L</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Davis, J</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1991</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'CEO Governance and Shareholder Returns: Agency Theory or Stewardship Theory'</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Australian Journal of Management</w:t>
      </w:r>
      <w:r w:rsidR="00AE4047" w:rsidRPr="00126B2F">
        <w:rPr>
          <w:rFonts w:asciiTheme="minorHAnsi" w:hAnsiTheme="minorHAnsi" w:cs="Times New Roman"/>
          <w:sz w:val="24"/>
          <w:szCs w:val="24"/>
          <w:lang w:val="en-GB"/>
        </w:rPr>
        <w:t xml:space="preserve">, 16(1), </w:t>
      </w:r>
      <w:r w:rsidRPr="00126B2F">
        <w:rPr>
          <w:rFonts w:asciiTheme="minorHAnsi" w:hAnsiTheme="minorHAnsi" w:cs="Times New Roman"/>
          <w:sz w:val="24"/>
          <w:szCs w:val="24"/>
          <w:lang w:val="en-GB"/>
        </w:rPr>
        <w:t>49-65.</w:t>
      </w:r>
    </w:p>
    <w:p w14:paraId="132DEE7A"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64226F06" w14:textId="7FB5A973" w:rsidR="00932283" w:rsidRPr="00126B2F" w:rsidRDefault="00932283" w:rsidP="00F7771F">
      <w:pPr>
        <w:autoSpaceDE w:val="0"/>
        <w:autoSpaceDN w:val="0"/>
        <w:adjustRightInd w:val="0"/>
        <w:spacing w:after="0" w:line="360" w:lineRule="auto"/>
        <w:rPr>
          <w:rFonts w:cs="Times New Roman"/>
          <w:sz w:val="24"/>
          <w:szCs w:val="24"/>
        </w:rPr>
      </w:pPr>
      <w:proofErr w:type="spellStart"/>
      <w:r w:rsidRPr="00126B2F">
        <w:rPr>
          <w:rFonts w:cs="Times New Roman"/>
          <w:sz w:val="24"/>
          <w:szCs w:val="24"/>
        </w:rPr>
        <w:t>Duderstadt</w:t>
      </w:r>
      <w:proofErr w:type="spellEnd"/>
      <w:r w:rsidRPr="00126B2F">
        <w:rPr>
          <w:rFonts w:cs="Times New Roman"/>
          <w:sz w:val="24"/>
          <w:szCs w:val="24"/>
        </w:rPr>
        <w:t>, J</w:t>
      </w:r>
      <w:r w:rsidR="00AE4047" w:rsidRPr="00126B2F">
        <w:rPr>
          <w:rFonts w:cs="Times New Roman"/>
          <w:sz w:val="24"/>
          <w:szCs w:val="24"/>
        </w:rPr>
        <w:t>.</w:t>
      </w:r>
      <w:r w:rsidRPr="00126B2F">
        <w:rPr>
          <w:rFonts w:cs="Times New Roman"/>
          <w:sz w:val="24"/>
          <w:szCs w:val="24"/>
        </w:rPr>
        <w:t>J</w:t>
      </w:r>
      <w:r w:rsidR="00AE4047" w:rsidRPr="00126B2F">
        <w:rPr>
          <w:rFonts w:cs="Times New Roman"/>
          <w:sz w:val="24"/>
          <w:szCs w:val="24"/>
        </w:rPr>
        <w:t>.</w:t>
      </w:r>
      <w:r w:rsidRPr="00126B2F">
        <w:rPr>
          <w:rFonts w:cs="Times New Roman"/>
          <w:sz w:val="24"/>
          <w:szCs w:val="24"/>
        </w:rPr>
        <w:t xml:space="preserve"> </w:t>
      </w:r>
      <w:r w:rsidR="00AE4047" w:rsidRPr="00126B2F">
        <w:rPr>
          <w:rFonts w:cs="Times New Roman"/>
          <w:sz w:val="24"/>
          <w:szCs w:val="24"/>
        </w:rPr>
        <w:t>(</w:t>
      </w:r>
      <w:r w:rsidRPr="00126B2F">
        <w:rPr>
          <w:rFonts w:cs="Times New Roman"/>
          <w:sz w:val="24"/>
          <w:szCs w:val="24"/>
        </w:rPr>
        <w:t>2004</w:t>
      </w:r>
      <w:r w:rsidR="00AE4047" w:rsidRPr="00126B2F">
        <w:rPr>
          <w:rFonts w:cs="Times New Roman"/>
          <w:sz w:val="24"/>
          <w:szCs w:val="24"/>
        </w:rPr>
        <w:t>).</w:t>
      </w:r>
      <w:r w:rsidRPr="00126B2F">
        <w:rPr>
          <w:rFonts w:cs="Times New Roman"/>
          <w:sz w:val="24"/>
          <w:szCs w:val="24"/>
        </w:rPr>
        <w:t xml:space="preserve"> 'Governing the twenty-first century university: a view from the bridge'</w:t>
      </w:r>
      <w:r w:rsidR="00AE4047" w:rsidRPr="00126B2F">
        <w:rPr>
          <w:rFonts w:cs="Times New Roman"/>
          <w:sz w:val="24"/>
          <w:szCs w:val="24"/>
        </w:rPr>
        <w:t>.</w:t>
      </w:r>
      <w:r w:rsidRPr="00126B2F">
        <w:rPr>
          <w:rFonts w:cs="Times New Roman"/>
          <w:sz w:val="24"/>
          <w:szCs w:val="24"/>
        </w:rPr>
        <w:t xml:space="preserve"> </w:t>
      </w:r>
      <w:r w:rsidR="00AE4047" w:rsidRPr="00126B2F">
        <w:rPr>
          <w:rFonts w:cs="Times New Roman"/>
          <w:sz w:val="24"/>
          <w:szCs w:val="24"/>
        </w:rPr>
        <w:t>I</w:t>
      </w:r>
      <w:r w:rsidRPr="00126B2F">
        <w:rPr>
          <w:rFonts w:cs="Times New Roman"/>
          <w:sz w:val="24"/>
          <w:szCs w:val="24"/>
        </w:rPr>
        <w:t>n W</w:t>
      </w:r>
      <w:r w:rsidR="00AE4047" w:rsidRPr="00126B2F">
        <w:rPr>
          <w:rFonts w:cs="Times New Roman"/>
          <w:sz w:val="24"/>
          <w:szCs w:val="24"/>
        </w:rPr>
        <w:t>.</w:t>
      </w:r>
      <w:r w:rsidRPr="00126B2F">
        <w:rPr>
          <w:rFonts w:cs="Times New Roman"/>
          <w:sz w:val="24"/>
          <w:szCs w:val="24"/>
        </w:rPr>
        <w:t>G</w:t>
      </w:r>
      <w:r w:rsidR="00AE4047" w:rsidRPr="00126B2F">
        <w:rPr>
          <w:rFonts w:cs="Times New Roman"/>
          <w:sz w:val="24"/>
          <w:szCs w:val="24"/>
        </w:rPr>
        <w:t>.</w:t>
      </w:r>
      <w:r w:rsidRPr="00126B2F">
        <w:rPr>
          <w:rFonts w:cs="Times New Roman"/>
          <w:sz w:val="24"/>
          <w:szCs w:val="24"/>
        </w:rPr>
        <w:t xml:space="preserve"> Tierney (</w:t>
      </w:r>
      <w:r w:rsidR="00AE4047" w:rsidRPr="00126B2F">
        <w:rPr>
          <w:rFonts w:cs="Times New Roman"/>
          <w:sz w:val="24"/>
          <w:szCs w:val="24"/>
        </w:rPr>
        <w:t>E</w:t>
      </w:r>
      <w:r w:rsidRPr="00126B2F">
        <w:rPr>
          <w:rFonts w:cs="Times New Roman"/>
          <w:sz w:val="24"/>
          <w:szCs w:val="24"/>
        </w:rPr>
        <w:t xml:space="preserve">d.) </w:t>
      </w:r>
      <w:r w:rsidRPr="00126B2F">
        <w:rPr>
          <w:rFonts w:cs="Times New Roman"/>
          <w:i/>
          <w:iCs/>
          <w:sz w:val="24"/>
          <w:szCs w:val="24"/>
        </w:rPr>
        <w:t>Competing Conceptions of Academic Governance: Negotiating the perfect storm</w:t>
      </w:r>
      <w:r w:rsidR="00AE4047" w:rsidRPr="00126B2F">
        <w:rPr>
          <w:rFonts w:cs="Times New Roman"/>
          <w:sz w:val="24"/>
          <w:szCs w:val="24"/>
        </w:rPr>
        <w:t>.</w:t>
      </w:r>
      <w:r w:rsidR="007840FD">
        <w:rPr>
          <w:rFonts w:cs="Times New Roman"/>
          <w:sz w:val="24"/>
          <w:szCs w:val="24"/>
        </w:rPr>
        <w:t xml:space="preserve"> </w:t>
      </w:r>
      <w:r w:rsidR="00AE4047" w:rsidRPr="00126B2F">
        <w:rPr>
          <w:rFonts w:cs="Times New Roman"/>
          <w:sz w:val="24"/>
          <w:szCs w:val="24"/>
        </w:rPr>
        <w:t xml:space="preserve">Baltimore: </w:t>
      </w:r>
      <w:r w:rsidRPr="00126B2F">
        <w:rPr>
          <w:rFonts w:cs="Times New Roman"/>
          <w:sz w:val="24"/>
          <w:szCs w:val="24"/>
        </w:rPr>
        <w:t>The Johns Hopkins University Press, 137-57.</w:t>
      </w:r>
    </w:p>
    <w:p w14:paraId="180A1592"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5EA3417" w14:textId="0C4C81FF"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Essaji, A</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Horton, S</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2009</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'Silent escalation: salaries of senior university administrators in Ontario, 1996–2006'</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Higher Education</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59</w:t>
      </w:r>
      <w:r w:rsidR="00AE4047" w:rsidRPr="00126B2F">
        <w:rPr>
          <w:rFonts w:asciiTheme="minorHAnsi" w:hAnsiTheme="minorHAnsi" w:cs="Times New Roman"/>
          <w:sz w:val="24"/>
          <w:szCs w:val="24"/>
          <w:lang w:val="en-GB"/>
        </w:rPr>
        <w:t>(3)</w:t>
      </w:r>
      <w:r w:rsidRPr="00126B2F">
        <w:rPr>
          <w:rFonts w:asciiTheme="minorHAnsi" w:hAnsiTheme="minorHAnsi" w:cs="Times New Roman"/>
          <w:sz w:val="24"/>
          <w:szCs w:val="24"/>
          <w:lang w:val="en-GB"/>
        </w:rPr>
        <w:t>, 303–22.</w:t>
      </w:r>
    </w:p>
    <w:p w14:paraId="14DD3D16"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4A21F74" w14:textId="7732A180"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Forsyth, H</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2014</w:t>
      </w:r>
      <w:r w:rsidR="00AE4047"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A History of the Modern Australian University</w:t>
      </w:r>
      <w:r w:rsidR="00AE4047" w:rsidRPr="00126B2F">
        <w:rPr>
          <w:rFonts w:asciiTheme="minorHAnsi" w:hAnsiTheme="minorHAnsi" w:cs="Times New Roman"/>
          <w:sz w:val="24"/>
          <w:szCs w:val="24"/>
          <w:lang w:val="en-GB"/>
        </w:rPr>
        <w:t>.</w:t>
      </w:r>
      <w:r w:rsidR="007840FD">
        <w:rPr>
          <w:rFonts w:asciiTheme="minorHAnsi" w:hAnsiTheme="minorHAnsi" w:cs="Times New Roman"/>
          <w:sz w:val="24"/>
          <w:szCs w:val="24"/>
          <w:lang w:val="en-GB"/>
        </w:rPr>
        <w:t xml:space="preserve"> </w:t>
      </w:r>
      <w:r w:rsidR="00AE4047" w:rsidRPr="00126B2F">
        <w:rPr>
          <w:rFonts w:asciiTheme="minorHAnsi" w:hAnsiTheme="minorHAnsi" w:cs="Times New Roman"/>
          <w:sz w:val="24"/>
          <w:szCs w:val="24"/>
          <w:lang w:val="en-GB"/>
        </w:rPr>
        <w:t xml:space="preserve">Sydney: </w:t>
      </w:r>
      <w:r w:rsidRPr="00126B2F">
        <w:rPr>
          <w:rFonts w:asciiTheme="minorHAnsi" w:hAnsiTheme="minorHAnsi" w:cs="Times New Roman"/>
          <w:sz w:val="24"/>
          <w:szCs w:val="24"/>
          <w:lang w:val="en-GB"/>
        </w:rPr>
        <w:t>University of New South Wales Press.</w:t>
      </w:r>
    </w:p>
    <w:p w14:paraId="6A9D78FC"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7D55FC99" w14:textId="66C87463" w:rsidR="0096005E" w:rsidRPr="002B1013" w:rsidRDefault="0096005E" w:rsidP="0096005E">
      <w:pPr>
        <w:pStyle w:val="EndNoteBibliography"/>
        <w:spacing w:after="0" w:line="360" w:lineRule="auto"/>
        <w:rPr>
          <w:rFonts w:asciiTheme="minorHAnsi" w:hAnsiTheme="minorHAnsi" w:cstheme="minorHAnsi"/>
          <w:sz w:val="24"/>
          <w:szCs w:val="24"/>
          <w:lang w:val="en-GB"/>
        </w:rPr>
      </w:pPr>
      <w:r w:rsidRPr="00126B2F">
        <w:rPr>
          <w:rFonts w:asciiTheme="minorHAnsi" w:hAnsiTheme="minorHAnsi" w:cs="Times New Roman"/>
          <w:sz w:val="24"/>
          <w:szCs w:val="24"/>
          <w:lang w:val="en-GB"/>
        </w:rPr>
        <w:t xml:space="preserve">Gritsko, N, Kozlova, V, Neilson, W &amp; Wichmann, B 2013, 'The CEO Arms Race', </w:t>
      </w:r>
      <w:r w:rsidRPr="00126B2F">
        <w:rPr>
          <w:rFonts w:asciiTheme="minorHAnsi" w:hAnsiTheme="minorHAnsi" w:cs="Times New Roman"/>
          <w:i/>
          <w:sz w:val="24"/>
          <w:szCs w:val="24"/>
          <w:lang w:val="en-GB"/>
        </w:rPr>
        <w:t xml:space="preserve">Southern </w:t>
      </w:r>
      <w:r w:rsidRPr="002B1013">
        <w:rPr>
          <w:rFonts w:asciiTheme="minorHAnsi" w:hAnsiTheme="minorHAnsi" w:cstheme="minorHAnsi"/>
          <w:i/>
          <w:sz w:val="24"/>
          <w:szCs w:val="24"/>
          <w:lang w:val="en-GB"/>
        </w:rPr>
        <w:t>Economic Journal</w:t>
      </w:r>
      <w:r w:rsidRPr="002B1013">
        <w:rPr>
          <w:rFonts w:asciiTheme="minorHAnsi" w:hAnsiTheme="minorHAnsi" w:cstheme="minorHAnsi"/>
          <w:sz w:val="24"/>
          <w:szCs w:val="24"/>
          <w:lang w:val="en-GB"/>
        </w:rPr>
        <w:t>, vol. 79, no. 3, pp. 586–99.</w:t>
      </w:r>
    </w:p>
    <w:p w14:paraId="3325EF14" w14:textId="77777777" w:rsidR="0096005E" w:rsidRPr="004348D7" w:rsidRDefault="0096005E" w:rsidP="0096005E">
      <w:pPr>
        <w:pStyle w:val="EndNoteBibliography"/>
        <w:spacing w:after="0" w:line="360" w:lineRule="auto"/>
        <w:rPr>
          <w:rFonts w:asciiTheme="minorHAnsi" w:hAnsiTheme="minorHAnsi" w:cstheme="minorHAnsi"/>
          <w:sz w:val="24"/>
          <w:szCs w:val="24"/>
          <w:lang w:val="en-GB"/>
        </w:rPr>
      </w:pPr>
    </w:p>
    <w:p w14:paraId="1402EDAC" w14:textId="06AA02B2" w:rsidR="0096005E" w:rsidRPr="00467440" w:rsidRDefault="0096005E" w:rsidP="00F7771F">
      <w:pPr>
        <w:pStyle w:val="EndNoteBibliography"/>
        <w:spacing w:after="0" w:line="360" w:lineRule="auto"/>
        <w:rPr>
          <w:rFonts w:asciiTheme="minorHAnsi" w:hAnsiTheme="minorHAnsi" w:cstheme="minorHAnsi"/>
          <w:b/>
          <w:bCs/>
          <w:i/>
          <w:iCs/>
          <w:color w:val="494343"/>
          <w:sz w:val="24"/>
          <w:szCs w:val="24"/>
          <w:shd w:val="clear" w:color="auto" w:fill="FFFFFF"/>
          <w:lang w:val="en-GB"/>
        </w:rPr>
      </w:pPr>
      <w:r w:rsidRPr="004348D7">
        <w:rPr>
          <w:rFonts w:asciiTheme="minorHAnsi" w:hAnsiTheme="minorHAnsi" w:cstheme="minorHAnsi"/>
          <w:sz w:val="24"/>
          <w:szCs w:val="24"/>
          <w:lang w:val="en-GB"/>
        </w:rPr>
        <w:t>Grove,</w:t>
      </w:r>
      <w:r w:rsidRPr="00467440">
        <w:rPr>
          <w:rFonts w:asciiTheme="minorHAnsi" w:hAnsiTheme="minorHAnsi" w:cstheme="minorHAnsi"/>
          <w:sz w:val="24"/>
          <w:szCs w:val="24"/>
          <w:lang w:val="en-GB"/>
        </w:rPr>
        <w:t xml:space="preserve"> J. (2018)</w:t>
      </w:r>
      <w:r w:rsidR="002B1013">
        <w:rPr>
          <w:rFonts w:asciiTheme="minorHAnsi" w:hAnsiTheme="minorHAnsi" w:cstheme="minorHAnsi"/>
          <w:sz w:val="24"/>
          <w:szCs w:val="24"/>
          <w:lang w:val="en-GB"/>
        </w:rPr>
        <w:t>.</w:t>
      </w:r>
      <w:r w:rsidRPr="00467440">
        <w:rPr>
          <w:rFonts w:asciiTheme="minorHAnsi" w:hAnsiTheme="minorHAnsi" w:cstheme="minorHAnsi"/>
          <w:sz w:val="24"/>
          <w:szCs w:val="24"/>
          <w:lang w:val="en-GB"/>
        </w:rPr>
        <w:t xml:space="preserve"> </w:t>
      </w:r>
      <w:r w:rsidRPr="00467440">
        <w:rPr>
          <w:rFonts w:asciiTheme="minorHAnsi" w:hAnsiTheme="minorHAnsi" w:cstheme="minorHAnsi"/>
          <w:color w:val="494343"/>
          <w:sz w:val="24"/>
          <w:szCs w:val="24"/>
          <w:shd w:val="clear" w:color="auto" w:fill="FFFFFF"/>
          <w:lang w:val="en-GB"/>
        </w:rPr>
        <w:t>Chalk it up to oversight,</w:t>
      </w:r>
      <w:r w:rsidRPr="00467440">
        <w:rPr>
          <w:rFonts w:asciiTheme="minorHAnsi" w:hAnsiTheme="minorHAnsi" w:cstheme="minorHAnsi"/>
          <w:b/>
          <w:bCs/>
          <w:color w:val="494343"/>
          <w:sz w:val="24"/>
          <w:szCs w:val="24"/>
          <w:shd w:val="clear" w:color="auto" w:fill="FFFFFF"/>
          <w:lang w:val="en-GB"/>
        </w:rPr>
        <w:t xml:space="preserve"> </w:t>
      </w:r>
      <w:r w:rsidRPr="00467440">
        <w:rPr>
          <w:rFonts w:asciiTheme="minorHAnsi" w:hAnsiTheme="minorHAnsi" w:cstheme="minorHAnsi"/>
          <w:b/>
          <w:bCs/>
          <w:i/>
          <w:iCs/>
          <w:color w:val="494343"/>
          <w:sz w:val="24"/>
          <w:szCs w:val="24"/>
          <w:shd w:val="clear" w:color="auto" w:fill="FFFFFF"/>
          <w:lang w:val="en-GB"/>
        </w:rPr>
        <w:t xml:space="preserve">Times </w:t>
      </w:r>
      <w:r w:rsidR="002B1013" w:rsidRPr="00467440">
        <w:rPr>
          <w:rFonts w:asciiTheme="minorHAnsi" w:hAnsiTheme="minorHAnsi" w:cstheme="minorHAnsi"/>
          <w:b/>
          <w:bCs/>
          <w:i/>
          <w:iCs/>
          <w:color w:val="494343"/>
          <w:sz w:val="24"/>
          <w:szCs w:val="24"/>
          <w:shd w:val="clear" w:color="auto" w:fill="FFFFFF"/>
          <w:lang w:val="en-GB"/>
        </w:rPr>
        <w:t xml:space="preserve">Higher Education, </w:t>
      </w:r>
      <w:r w:rsidR="002B1013" w:rsidRPr="00467440">
        <w:rPr>
          <w:rFonts w:asciiTheme="minorHAnsi" w:hAnsiTheme="minorHAnsi" w:cstheme="minorHAnsi"/>
          <w:b/>
          <w:bCs/>
          <w:color w:val="494343"/>
          <w:sz w:val="24"/>
          <w:szCs w:val="24"/>
          <w:shd w:val="clear" w:color="auto" w:fill="FFFFFF"/>
        </w:rPr>
        <w:t xml:space="preserve">22 February. Accessed at </w:t>
      </w:r>
      <w:hyperlink r:id="rId9" w:history="1">
        <w:r w:rsidR="002B1013" w:rsidRPr="00467440">
          <w:rPr>
            <w:rStyle w:val="Hyperlink"/>
            <w:rFonts w:asciiTheme="minorHAnsi" w:hAnsiTheme="minorHAnsi" w:cstheme="minorHAnsi"/>
            <w:sz w:val="24"/>
            <w:szCs w:val="24"/>
          </w:rPr>
          <w:t>https://www.timeshighereducation.com/features/chalk-it-oversight</w:t>
        </w:r>
      </w:hyperlink>
      <w:r w:rsidR="002B1013" w:rsidRPr="00467440">
        <w:rPr>
          <w:rFonts w:asciiTheme="minorHAnsi" w:hAnsiTheme="minorHAnsi" w:cstheme="minorHAnsi"/>
          <w:sz w:val="24"/>
          <w:szCs w:val="24"/>
        </w:rPr>
        <w:t xml:space="preserve"> on 9 August 2020.</w:t>
      </w:r>
      <w:r w:rsidRPr="00467440">
        <w:rPr>
          <w:rFonts w:asciiTheme="minorHAnsi" w:hAnsiTheme="minorHAnsi" w:cstheme="minorHAnsi"/>
          <w:b/>
          <w:bCs/>
          <w:i/>
          <w:iCs/>
          <w:vanish/>
          <w:color w:val="494343"/>
          <w:sz w:val="24"/>
          <w:szCs w:val="24"/>
          <w:shd w:val="clear" w:color="auto" w:fill="FFFFFF"/>
          <w:lang w:val="en-GB"/>
        </w:rPr>
        <w:t>igher Eduation</w:t>
      </w:r>
    </w:p>
    <w:p w14:paraId="5457CF8D" w14:textId="47C23554" w:rsidR="002B1013" w:rsidRPr="00467440" w:rsidRDefault="002B1013" w:rsidP="00F7771F">
      <w:pPr>
        <w:pStyle w:val="EndNoteBibliography"/>
        <w:spacing w:after="0" w:line="360" w:lineRule="auto"/>
        <w:rPr>
          <w:rFonts w:asciiTheme="minorHAnsi" w:hAnsiTheme="minorHAnsi" w:cstheme="minorHAnsi"/>
          <w:b/>
          <w:bCs/>
          <w:i/>
          <w:iCs/>
          <w:vanish/>
          <w:color w:val="494343"/>
          <w:sz w:val="24"/>
          <w:szCs w:val="24"/>
          <w:shd w:val="clear" w:color="auto" w:fill="FFFFFF"/>
          <w:lang w:val="en-GB"/>
        </w:rPr>
      </w:pPr>
    </w:p>
    <w:p w14:paraId="64466C6B" w14:textId="5318A172" w:rsidR="0096005E" w:rsidRPr="00467440" w:rsidRDefault="0096005E" w:rsidP="00F7771F">
      <w:pPr>
        <w:pStyle w:val="EndNoteBibliography"/>
        <w:spacing w:after="0" w:line="360" w:lineRule="auto"/>
        <w:rPr>
          <w:rFonts w:asciiTheme="minorHAnsi" w:hAnsiTheme="minorHAnsi" w:cstheme="minorHAnsi"/>
          <w:sz w:val="24"/>
          <w:szCs w:val="24"/>
          <w:lang w:val="en-GB"/>
        </w:rPr>
      </w:pPr>
    </w:p>
    <w:p w14:paraId="36373F34" w14:textId="1C3F9F19"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467440">
        <w:rPr>
          <w:rFonts w:asciiTheme="minorHAnsi" w:hAnsiTheme="minorHAnsi" w:cstheme="minorHAnsi"/>
          <w:sz w:val="24"/>
          <w:szCs w:val="24"/>
          <w:lang w:val="de-DE"/>
        </w:rPr>
        <w:t>Gschwandtner, A</w:t>
      </w:r>
      <w:r w:rsidR="00AE4047" w:rsidRPr="00467440">
        <w:rPr>
          <w:rFonts w:asciiTheme="minorHAnsi" w:hAnsiTheme="minorHAnsi" w:cstheme="minorHAnsi"/>
          <w:sz w:val="24"/>
          <w:szCs w:val="24"/>
          <w:lang w:val="de-DE"/>
        </w:rPr>
        <w:t>.,</w:t>
      </w:r>
      <w:r w:rsidRPr="00467440">
        <w:rPr>
          <w:rFonts w:asciiTheme="minorHAnsi" w:hAnsiTheme="minorHAnsi" w:cstheme="minorHAnsi"/>
          <w:sz w:val="24"/>
          <w:szCs w:val="24"/>
          <w:lang w:val="de-DE"/>
        </w:rPr>
        <w:t xml:space="preserve"> &amp; McManus, R</w:t>
      </w:r>
      <w:r w:rsidR="00AE4047" w:rsidRPr="00467440">
        <w:rPr>
          <w:rFonts w:asciiTheme="minorHAnsi" w:hAnsiTheme="minorHAnsi" w:cstheme="minorHAnsi"/>
          <w:sz w:val="24"/>
          <w:szCs w:val="24"/>
          <w:lang w:val="de-DE"/>
        </w:rPr>
        <w:t>.</w:t>
      </w:r>
      <w:r w:rsidRPr="00467440">
        <w:rPr>
          <w:rFonts w:asciiTheme="minorHAnsi" w:hAnsiTheme="minorHAnsi" w:cstheme="minorHAnsi"/>
          <w:sz w:val="24"/>
          <w:szCs w:val="24"/>
          <w:lang w:val="de-DE"/>
        </w:rPr>
        <w:t xml:space="preserve"> </w:t>
      </w:r>
      <w:r w:rsidR="00AE4047" w:rsidRPr="00467440">
        <w:rPr>
          <w:rFonts w:asciiTheme="minorHAnsi" w:hAnsiTheme="minorHAnsi" w:cstheme="minorHAnsi"/>
          <w:sz w:val="24"/>
          <w:szCs w:val="24"/>
          <w:lang w:val="de-DE"/>
        </w:rPr>
        <w:t>(</w:t>
      </w:r>
      <w:r w:rsidRPr="00467440">
        <w:rPr>
          <w:rFonts w:asciiTheme="minorHAnsi" w:hAnsiTheme="minorHAnsi" w:cstheme="minorHAnsi"/>
          <w:sz w:val="24"/>
          <w:szCs w:val="24"/>
          <w:lang w:val="de-DE"/>
        </w:rPr>
        <w:t>2018</w:t>
      </w:r>
      <w:r w:rsidR="00AE4047" w:rsidRPr="00467440">
        <w:rPr>
          <w:rFonts w:asciiTheme="minorHAnsi" w:hAnsiTheme="minorHAnsi" w:cstheme="minorHAnsi"/>
          <w:sz w:val="24"/>
          <w:szCs w:val="24"/>
          <w:lang w:val="de-DE"/>
        </w:rPr>
        <w:t>).</w:t>
      </w:r>
      <w:r w:rsidRPr="00467440">
        <w:rPr>
          <w:rFonts w:asciiTheme="minorHAnsi" w:hAnsiTheme="minorHAnsi" w:cstheme="minorHAnsi"/>
          <w:sz w:val="24"/>
          <w:szCs w:val="24"/>
          <w:lang w:val="de-DE"/>
        </w:rPr>
        <w:t xml:space="preserve"> </w:t>
      </w:r>
      <w:r w:rsidRPr="002B1013">
        <w:rPr>
          <w:rFonts w:asciiTheme="minorHAnsi" w:hAnsiTheme="minorHAnsi" w:cstheme="minorHAnsi"/>
          <w:i/>
          <w:iCs/>
          <w:sz w:val="24"/>
          <w:szCs w:val="24"/>
          <w:lang w:val="en-GB"/>
        </w:rPr>
        <w:t>University vice-chancellor pay, performance and (asymmetric) benchmar</w:t>
      </w:r>
      <w:r w:rsidRPr="004348D7">
        <w:rPr>
          <w:rFonts w:asciiTheme="minorHAnsi" w:hAnsiTheme="minorHAnsi" w:cstheme="minorHAnsi"/>
          <w:i/>
          <w:iCs/>
          <w:sz w:val="24"/>
          <w:szCs w:val="24"/>
          <w:lang w:val="en-GB"/>
        </w:rPr>
        <w:t>king</w:t>
      </w:r>
      <w:r w:rsidR="00AE4047" w:rsidRPr="00126B2F">
        <w:rPr>
          <w:rFonts w:asciiTheme="minorHAnsi" w:hAnsiTheme="minorHAnsi" w:cs="Times New Roman"/>
          <w:sz w:val="24"/>
          <w:szCs w:val="24"/>
          <w:lang w:val="en-GB"/>
        </w:rPr>
        <w:t>. https://blogs.kent.ac.uk/economics/2018/05/24/university-vice-chancellor-pay-performance-and-asymmetric-benchmarking/. Accessed 4 June 2018.</w:t>
      </w:r>
    </w:p>
    <w:p w14:paraId="008077B3"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5206661" w14:textId="77777777" w:rsidR="00951F27" w:rsidRDefault="00951F27" w:rsidP="00F7771F">
      <w:pPr>
        <w:pStyle w:val="EndNoteBibliography"/>
        <w:spacing w:after="0" w:line="360" w:lineRule="auto"/>
        <w:rPr>
          <w:rFonts w:asciiTheme="minorHAnsi" w:eastAsia="Times New Roman" w:hAnsiTheme="minorHAnsi" w:cs="Times New Roman"/>
          <w:bCs/>
          <w:noProof w:val="0"/>
          <w:kern w:val="36"/>
          <w:sz w:val="24"/>
          <w:szCs w:val="24"/>
          <w:lang w:val="en-GB" w:eastAsia="fi-FI"/>
        </w:rPr>
      </w:pPr>
    </w:p>
    <w:p w14:paraId="56BA4C6B" w14:textId="0E0446E5" w:rsidR="00932283" w:rsidRPr="00467440" w:rsidRDefault="00932283" w:rsidP="00F7771F">
      <w:pPr>
        <w:pStyle w:val="EndNoteBibliography"/>
        <w:spacing w:after="0" w:line="360" w:lineRule="auto"/>
        <w:rPr>
          <w:rFonts w:asciiTheme="minorHAnsi" w:eastAsia="Times New Roman" w:hAnsiTheme="minorHAnsi" w:cs="Times New Roman"/>
          <w:bCs/>
          <w:noProof w:val="0"/>
          <w:kern w:val="36"/>
          <w:sz w:val="24"/>
          <w:szCs w:val="24"/>
          <w:lang w:val="en-GB" w:eastAsia="fi-FI"/>
        </w:rPr>
      </w:pPr>
      <w:r w:rsidRPr="00467440">
        <w:rPr>
          <w:rFonts w:asciiTheme="minorHAnsi" w:eastAsia="Times New Roman" w:hAnsiTheme="minorHAnsi" w:cs="Times New Roman"/>
          <w:bCs/>
          <w:noProof w:val="0"/>
          <w:kern w:val="36"/>
          <w:sz w:val="24"/>
          <w:szCs w:val="24"/>
          <w:lang w:val="en-GB" w:eastAsia="fi-FI"/>
        </w:rPr>
        <w:t>Harman, K</w:t>
      </w:r>
      <w:r w:rsidR="004E519F" w:rsidRPr="00467440">
        <w:rPr>
          <w:rFonts w:asciiTheme="minorHAnsi" w:eastAsia="Times New Roman" w:hAnsiTheme="minorHAnsi" w:cs="Times New Roman"/>
          <w:bCs/>
          <w:noProof w:val="0"/>
          <w:kern w:val="36"/>
          <w:sz w:val="24"/>
          <w:szCs w:val="24"/>
          <w:lang w:val="en-GB" w:eastAsia="fi-FI"/>
        </w:rPr>
        <w:t>.,</w:t>
      </w:r>
      <w:r w:rsidRPr="00467440">
        <w:rPr>
          <w:rFonts w:asciiTheme="minorHAnsi" w:eastAsia="Times New Roman" w:hAnsiTheme="minorHAnsi" w:cs="Times New Roman"/>
          <w:bCs/>
          <w:noProof w:val="0"/>
          <w:kern w:val="36"/>
          <w:sz w:val="24"/>
          <w:szCs w:val="24"/>
          <w:lang w:val="en-GB" w:eastAsia="fi-FI"/>
        </w:rPr>
        <w:t xml:space="preserve"> &amp; </w:t>
      </w:r>
      <w:proofErr w:type="spellStart"/>
      <w:r w:rsidRPr="00467440">
        <w:rPr>
          <w:rFonts w:asciiTheme="minorHAnsi" w:eastAsia="Times New Roman" w:hAnsiTheme="minorHAnsi" w:cs="Times New Roman"/>
          <w:bCs/>
          <w:noProof w:val="0"/>
          <w:kern w:val="36"/>
          <w:sz w:val="24"/>
          <w:szCs w:val="24"/>
          <w:lang w:val="en-GB" w:eastAsia="fi-FI"/>
        </w:rPr>
        <w:t>Treadgold</w:t>
      </w:r>
      <w:proofErr w:type="spellEnd"/>
      <w:r w:rsidRPr="00467440">
        <w:rPr>
          <w:rFonts w:asciiTheme="minorHAnsi" w:eastAsia="Times New Roman" w:hAnsiTheme="minorHAnsi" w:cs="Times New Roman"/>
          <w:bCs/>
          <w:noProof w:val="0"/>
          <w:kern w:val="36"/>
          <w:sz w:val="24"/>
          <w:szCs w:val="24"/>
          <w:lang w:val="en-GB" w:eastAsia="fi-FI"/>
        </w:rPr>
        <w:t>, E</w:t>
      </w:r>
      <w:r w:rsidR="004E519F" w:rsidRPr="00467440">
        <w:rPr>
          <w:rFonts w:asciiTheme="minorHAnsi" w:eastAsia="Times New Roman" w:hAnsiTheme="minorHAnsi" w:cs="Times New Roman"/>
          <w:bCs/>
          <w:noProof w:val="0"/>
          <w:kern w:val="36"/>
          <w:sz w:val="24"/>
          <w:szCs w:val="24"/>
          <w:lang w:val="en-GB" w:eastAsia="fi-FI"/>
        </w:rPr>
        <w:t>.</w:t>
      </w:r>
      <w:r w:rsidRPr="00467440">
        <w:rPr>
          <w:rFonts w:asciiTheme="minorHAnsi" w:eastAsia="Times New Roman" w:hAnsiTheme="minorHAnsi" w:cs="Times New Roman"/>
          <w:bCs/>
          <w:noProof w:val="0"/>
          <w:kern w:val="36"/>
          <w:sz w:val="24"/>
          <w:szCs w:val="24"/>
          <w:lang w:val="en-GB" w:eastAsia="fi-FI"/>
        </w:rPr>
        <w:t xml:space="preserve"> </w:t>
      </w:r>
      <w:r w:rsidR="004E519F" w:rsidRPr="00467440">
        <w:rPr>
          <w:rFonts w:asciiTheme="minorHAnsi" w:eastAsia="Times New Roman" w:hAnsiTheme="minorHAnsi" w:cs="Times New Roman"/>
          <w:bCs/>
          <w:noProof w:val="0"/>
          <w:kern w:val="36"/>
          <w:sz w:val="24"/>
          <w:szCs w:val="24"/>
          <w:lang w:val="en-GB" w:eastAsia="fi-FI"/>
        </w:rPr>
        <w:t>(</w:t>
      </w:r>
      <w:r w:rsidRPr="00467440">
        <w:rPr>
          <w:rFonts w:asciiTheme="minorHAnsi" w:eastAsia="Times New Roman" w:hAnsiTheme="minorHAnsi" w:cs="Times New Roman"/>
          <w:bCs/>
          <w:noProof w:val="0"/>
          <w:kern w:val="36"/>
          <w:sz w:val="24"/>
          <w:szCs w:val="24"/>
          <w:lang w:val="en-GB" w:eastAsia="fi-FI"/>
        </w:rPr>
        <w:t>2007</w:t>
      </w:r>
      <w:r w:rsidR="004E519F" w:rsidRPr="00467440">
        <w:rPr>
          <w:rFonts w:asciiTheme="minorHAnsi" w:eastAsia="Times New Roman" w:hAnsiTheme="minorHAnsi" w:cs="Times New Roman"/>
          <w:bCs/>
          <w:noProof w:val="0"/>
          <w:kern w:val="36"/>
          <w:sz w:val="24"/>
          <w:szCs w:val="24"/>
          <w:lang w:val="en-GB" w:eastAsia="fi-FI"/>
        </w:rPr>
        <w:t>).</w:t>
      </w:r>
      <w:r w:rsidRPr="00467440">
        <w:rPr>
          <w:rFonts w:asciiTheme="minorHAnsi" w:eastAsia="Times New Roman" w:hAnsiTheme="minorHAnsi" w:cs="Times New Roman"/>
          <w:bCs/>
          <w:noProof w:val="0"/>
          <w:kern w:val="36"/>
          <w:sz w:val="24"/>
          <w:szCs w:val="24"/>
          <w:lang w:val="en-GB" w:eastAsia="fi-FI"/>
        </w:rPr>
        <w:t xml:space="preserve"> 'Changing patterns of governance for Australian universities'</w:t>
      </w:r>
      <w:r w:rsidR="004E519F" w:rsidRPr="00467440">
        <w:rPr>
          <w:rFonts w:asciiTheme="minorHAnsi" w:eastAsia="Times New Roman" w:hAnsiTheme="minorHAnsi" w:cs="Times New Roman"/>
          <w:bCs/>
          <w:noProof w:val="0"/>
          <w:kern w:val="36"/>
          <w:sz w:val="24"/>
          <w:szCs w:val="24"/>
          <w:lang w:val="en-GB" w:eastAsia="fi-FI"/>
        </w:rPr>
        <w:t>.</w:t>
      </w:r>
      <w:r w:rsidRPr="00467440">
        <w:rPr>
          <w:rFonts w:asciiTheme="minorHAnsi" w:eastAsia="Times New Roman" w:hAnsiTheme="minorHAnsi" w:cs="Times New Roman"/>
          <w:bCs/>
          <w:noProof w:val="0"/>
          <w:kern w:val="36"/>
          <w:sz w:val="24"/>
          <w:szCs w:val="24"/>
          <w:lang w:val="en-GB" w:eastAsia="fi-FI"/>
        </w:rPr>
        <w:t xml:space="preserve"> Higher Education Research &amp; Development</w:t>
      </w:r>
      <w:r w:rsidR="004E519F" w:rsidRPr="00467440">
        <w:rPr>
          <w:rFonts w:asciiTheme="minorHAnsi" w:eastAsia="Times New Roman" w:hAnsiTheme="minorHAnsi" w:cs="Times New Roman"/>
          <w:bCs/>
          <w:noProof w:val="0"/>
          <w:kern w:val="36"/>
          <w:sz w:val="24"/>
          <w:szCs w:val="24"/>
          <w:lang w:val="en-GB" w:eastAsia="fi-FI"/>
        </w:rPr>
        <w:t>.</w:t>
      </w:r>
      <w:r w:rsidRPr="00467440">
        <w:rPr>
          <w:rFonts w:asciiTheme="minorHAnsi" w:eastAsia="Times New Roman" w:hAnsiTheme="minorHAnsi" w:cs="Times New Roman"/>
          <w:bCs/>
          <w:noProof w:val="0"/>
          <w:kern w:val="36"/>
          <w:sz w:val="24"/>
          <w:szCs w:val="24"/>
          <w:lang w:val="en-GB" w:eastAsia="fi-FI"/>
        </w:rPr>
        <w:t xml:space="preserve"> 26</w:t>
      </w:r>
      <w:r w:rsidR="004E519F" w:rsidRPr="00467440">
        <w:rPr>
          <w:rFonts w:asciiTheme="minorHAnsi" w:eastAsia="Times New Roman" w:hAnsiTheme="minorHAnsi" w:cs="Times New Roman"/>
          <w:bCs/>
          <w:noProof w:val="0"/>
          <w:kern w:val="36"/>
          <w:sz w:val="24"/>
          <w:szCs w:val="24"/>
          <w:lang w:val="en-GB" w:eastAsia="fi-FI"/>
        </w:rPr>
        <w:t>(</w:t>
      </w:r>
      <w:r w:rsidRPr="00467440">
        <w:rPr>
          <w:rFonts w:asciiTheme="minorHAnsi" w:eastAsia="Times New Roman" w:hAnsiTheme="minorHAnsi" w:cs="Times New Roman"/>
          <w:bCs/>
          <w:noProof w:val="0"/>
          <w:kern w:val="36"/>
          <w:sz w:val="24"/>
          <w:szCs w:val="24"/>
          <w:lang w:val="en-GB" w:eastAsia="fi-FI"/>
        </w:rPr>
        <w:t>1</w:t>
      </w:r>
      <w:r w:rsidR="004E519F" w:rsidRPr="00467440">
        <w:rPr>
          <w:rFonts w:asciiTheme="minorHAnsi" w:eastAsia="Times New Roman" w:hAnsiTheme="minorHAnsi" w:cs="Times New Roman"/>
          <w:bCs/>
          <w:noProof w:val="0"/>
          <w:kern w:val="36"/>
          <w:sz w:val="24"/>
          <w:szCs w:val="24"/>
          <w:lang w:val="en-GB" w:eastAsia="fi-FI"/>
        </w:rPr>
        <w:t>)</w:t>
      </w:r>
      <w:r w:rsidRPr="00467440">
        <w:rPr>
          <w:rFonts w:asciiTheme="minorHAnsi" w:eastAsia="Times New Roman" w:hAnsiTheme="minorHAnsi" w:cs="Times New Roman"/>
          <w:bCs/>
          <w:noProof w:val="0"/>
          <w:kern w:val="36"/>
          <w:sz w:val="24"/>
          <w:szCs w:val="24"/>
          <w:lang w:val="en-GB" w:eastAsia="fi-FI"/>
        </w:rPr>
        <w:t xml:space="preserve">, 13-29. </w:t>
      </w:r>
    </w:p>
    <w:p w14:paraId="7786B418" w14:textId="1FF0D3A2" w:rsidR="00FE7E18" w:rsidRPr="00126B2F" w:rsidRDefault="00FE7E18" w:rsidP="00F7771F">
      <w:pPr>
        <w:pStyle w:val="EndNoteBibliography"/>
        <w:spacing w:after="0" w:line="360" w:lineRule="auto"/>
        <w:rPr>
          <w:rFonts w:asciiTheme="minorHAnsi" w:eastAsia="Times New Roman" w:hAnsiTheme="minorHAnsi" w:cs="Times New Roman"/>
          <w:bCs/>
          <w:noProof w:val="0"/>
          <w:color w:val="494343"/>
          <w:kern w:val="36"/>
          <w:sz w:val="24"/>
          <w:szCs w:val="24"/>
          <w:lang w:val="en-GB" w:eastAsia="fi-FI"/>
        </w:rPr>
      </w:pPr>
    </w:p>
    <w:p w14:paraId="3DE0153A" w14:textId="1E755DA7" w:rsidR="00942328" w:rsidRPr="00126B2F" w:rsidRDefault="00FE7E18"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 xml:space="preserve">Heffernan, T. A. (2019). Reporting on vice-chancellor salaries in Australia’s and the United Kingdom’s media in the wake of strikes, cuts and ‘falling performance’. </w:t>
      </w:r>
      <w:r w:rsidRPr="00126B2F">
        <w:rPr>
          <w:rFonts w:asciiTheme="minorHAnsi" w:hAnsiTheme="minorHAnsi" w:cs="Times New Roman"/>
          <w:i/>
          <w:iCs/>
          <w:sz w:val="24"/>
          <w:szCs w:val="24"/>
          <w:lang w:val="en-GB"/>
        </w:rPr>
        <w:t>International Journal of Leadership in Education</w:t>
      </w:r>
      <w:r w:rsidRPr="00126B2F">
        <w:rPr>
          <w:rFonts w:asciiTheme="minorHAnsi" w:hAnsiTheme="minorHAnsi" w:cs="Times New Roman"/>
          <w:sz w:val="24"/>
          <w:szCs w:val="24"/>
          <w:lang w:val="en-GB"/>
        </w:rPr>
        <w:t>, 1</w:t>
      </w:r>
      <w:r w:rsidR="00027245"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17. doi:10.1080/13603124.2019.1631387</w:t>
      </w:r>
    </w:p>
    <w:p w14:paraId="4412877A" w14:textId="58A5B0B5" w:rsidR="00932283" w:rsidRPr="007840FD" w:rsidRDefault="00942328" w:rsidP="007840FD">
      <w:pPr>
        <w:pStyle w:val="Heading1"/>
        <w:shd w:val="clear" w:color="auto" w:fill="FFFFFF"/>
        <w:spacing w:line="360" w:lineRule="auto"/>
        <w:rPr>
          <w:rFonts w:asciiTheme="minorHAnsi" w:hAnsiTheme="minorHAnsi"/>
          <w:bCs w:val="0"/>
          <w:color w:val="494343"/>
          <w:sz w:val="24"/>
          <w:szCs w:val="24"/>
          <w:lang w:val="en-GB"/>
        </w:rPr>
      </w:pPr>
      <w:r w:rsidRPr="00126B2F">
        <w:rPr>
          <w:rFonts w:asciiTheme="minorHAnsi" w:hAnsiTheme="minorHAnsi"/>
          <w:b w:val="0"/>
          <w:bCs w:val="0"/>
          <w:sz w:val="24"/>
          <w:szCs w:val="24"/>
          <w:lang w:val="en-GB"/>
        </w:rPr>
        <w:t xml:space="preserve">HESA (Undated) </w:t>
      </w:r>
      <w:r w:rsidRPr="00126B2F">
        <w:rPr>
          <w:rFonts w:asciiTheme="minorHAnsi" w:hAnsiTheme="minorHAnsi"/>
          <w:b w:val="0"/>
          <w:bCs w:val="0"/>
          <w:color w:val="171413"/>
          <w:sz w:val="24"/>
          <w:szCs w:val="24"/>
          <w:lang w:val="en-GB"/>
        </w:rPr>
        <w:t>Table 11 - Head of provider remuneration 2016/17 to 2018/19</w:t>
      </w:r>
      <w:r w:rsidRPr="00126B2F">
        <w:rPr>
          <w:rFonts w:asciiTheme="minorHAnsi" w:hAnsiTheme="minorHAnsi"/>
          <w:sz w:val="24"/>
          <w:szCs w:val="24"/>
          <w:lang w:val="en-GB"/>
        </w:rPr>
        <w:t xml:space="preserve">, </w:t>
      </w:r>
      <w:r w:rsidRPr="00126B2F">
        <w:rPr>
          <w:rFonts w:asciiTheme="minorHAnsi" w:hAnsiTheme="minorHAnsi"/>
          <w:b w:val="0"/>
          <w:bCs w:val="0"/>
          <w:sz w:val="24"/>
          <w:szCs w:val="24"/>
          <w:lang w:val="en-GB"/>
        </w:rPr>
        <w:t xml:space="preserve">Accessed at </w:t>
      </w:r>
      <w:r w:rsidRPr="007840FD">
        <w:rPr>
          <w:rFonts w:asciiTheme="minorHAnsi" w:hAnsiTheme="minorHAnsi"/>
          <w:b w:val="0"/>
          <w:bCs w:val="0"/>
          <w:sz w:val="24"/>
          <w:szCs w:val="24"/>
          <w:lang w:val="en-GB"/>
        </w:rPr>
        <w:t>https://www.hesa.ac.uk/data-and-analysis/finances/table-11</w:t>
      </w:r>
      <w:r w:rsidR="007840FD" w:rsidRPr="007840FD">
        <w:rPr>
          <w:rFonts w:asciiTheme="minorHAnsi" w:hAnsiTheme="minorHAnsi"/>
          <w:b w:val="0"/>
          <w:bCs w:val="0"/>
          <w:sz w:val="24"/>
          <w:szCs w:val="24"/>
          <w:lang w:val="en-GB"/>
        </w:rPr>
        <w:t>,</w:t>
      </w:r>
      <w:r w:rsidRPr="00126B2F">
        <w:rPr>
          <w:rFonts w:asciiTheme="minorHAnsi" w:hAnsiTheme="minorHAnsi"/>
          <w:sz w:val="24"/>
          <w:szCs w:val="24"/>
          <w:lang w:val="en-GB"/>
        </w:rPr>
        <w:t xml:space="preserve"> </w:t>
      </w:r>
      <w:r w:rsidR="007840FD" w:rsidRPr="007840FD">
        <w:rPr>
          <w:rFonts w:asciiTheme="minorHAnsi" w:hAnsiTheme="minorHAnsi"/>
          <w:b w:val="0"/>
          <w:bCs w:val="0"/>
          <w:sz w:val="24"/>
          <w:szCs w:val="24"/>
          <w:lang w:val="en-GB"/>
        </w:rPr>
        <w:t xml:space="preserve">accessed </w:t>
      </w:r>
      <w:r w:rsidRPr="00126B2F">
        <w:rPr>
          <w:rFonts w:asciiTheme="minorHAnsi" w:hAnsiTheme="minorHAnsi"/>
          <w:b w:val="0"/>
          <w:bCs w:val="0"/>
          <w:sz w:val="24"/>
          <w:szCs w:val="24"/>
          <w:lang w:val="en-GB"/>
        </w:rPr>
        <w:t>18 May 2020</w:t>
      </w:r>
      <w:r w:rsidR="007840FD">
        <w:rPr>
          <w:rFonts w:asciiTheme="minorHAnsi" w:hAnsiTheme="minorHAnsi"/>
          <w:b w:val="0"/>
          <w:bCs w:val="0"/>
          <w:sz w:val="24"/>
          <w:szCs w:val="24"/>
          <w:lang w:val="en-GB"/>
        </w:rPr>
        <w:t>.</w:t>
      </w:r>
    </w:p>
    <w:p w14:paraId="15E42EA9" w14:textId="56DB9681"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Hubble S</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4E519F" w:rsidRPr="00126B2F">
        <w:rPr>
          <w:rFonts w:asciiTheme="minorHAnsi" w:hAnsiTheme="minorHAnsi" w:cs="Times New Roman"/>
          <w:sz w:val="24"/>
          <w:szCs w:val="24"/>
          <w:lang w:val="en-GB"/>
        </w:rPr>
        <w:t xml:space="preserve">&amp; </w:t>
      </w:r>
      <w:r w:rsidRPr="00126B2F">
        <w:rPr>
          <w:rFonts w:asciiTheme="minorHAnsi" w:hAnsiTheme="minorHAnsi" w:cs="Times New Roman"/>
          <w:sz w:val="24"/>
          <w:szCs w:val="24"/>
          <w:lang w:val="en-GB"/>
        </w:rPr>
        <w:t>Bolton</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P</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(2018)</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Vice Chancellors’ pay in higher eduecation instituions in Engand</w:t>
      </w:r>
      <w:r w:rsidR="004E519F" w:rsidRPr="00126B2F">
        <w:rPr>
          <w:rFonts w:asciiTheme="minorHAnsi" w:hAnsiTheme="minorHAnsi" w:cs="Times New Roman"/>
          <w:sz w:val="24"/>
          <w:szCs w:val="24"/>
          <w:lang w:val="en-GB"/>
        </w:rPr>
        <w:t>’</w:t>
      </w:r>
      <w:r w:rsidR="002B1013">
        <w:rPr>
          <w:rFonts w:asciiTheme="minorHAnsi" w:hAnsiTheme="minorHAnsi" w:cs="Times New Roman"/>
          <w:sz w:val="24"/>
          <w:szCs w:val="24"/>
          <w:lang w:val="en-GB"/>
        </w:rPr>
        <w:t xml:space="preserve">, House of Commons </w:t>
      </w:r>
      <w:r w:rsidR="002B1013" w:rsidRPr="00126B2F">
        <w:rPr>
          <w:rFonts w:asciiTheme="minorHAnsi" w:hAnsiTheme="minorHAnsi" w:cs="Times New Roman"/>
          <w:sz w:val="24"/>
          <w:szCs w:val="24"/>
          <w:lang w:val="en-GB"/>
        </w:rPr>
        <w:t>Library Briefing paper 8227</w:t>
      </w:r>
      <w:r w:rsidR="002B1013">
        <w:rPr>
          <w:rFonts w:asciiTheme="minorHAnsi" w:hAnsiTheme="minorHAnsi" w:cs="Times New Roman"/>
          <w:sz w:val="24"/>
          <w:szCs w:val="24"/>
          <w:lang w:val="en-GB"/>
        </w:rPr>
        <w:t xml:space="preserve">, </w:t>
      </w:r>
      <w:r w:rsidR="004E519F" w:rsidRPr="00126B2F">
        <w:rPr>
          <w:rFonts w:asciiTheme="minorHAnsi" w:hAnsiTheme="minorHAnsi" w:cs="Times New Roman"/>
          <w:sz w:val="24"/>
          <w:szCs w:val="24"/>
          <w:lang w:val="en-GB"/>
        </w:rPr>
        <w:t xml:space="preserve">London: </w:t>
      </w:r>
      <w:r w:rsidRPr="00126B2F">
        <w:rPr>
          <w:rFonts w:asciiTheme="minorHAnsi" w:hAnsiTheme="minorHAnsi" w:cs="Times New Roman"/>
          <w:sz w:val="24"/>
          <w:szCs w:val="24"/>
          <w:lang w:val="en-GB"/>
        </w:rPr>
        <w:t xml:space="preserve">House of Commons. </w:t>
      </w:r>
    </w:p>
    <w:p w14:paraId="6DDECCFA"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176A8CE2" w14:textId="34304DB4"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Jensen, M</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C</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Meckling, W</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H</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1976</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'Theory of the firm: Managerial behavior, agency costs and ownership structure'</w:t>
      </w:r>
      <w:r w:rsidR="004E519F" w:rsidRPr="00126B2F">
        <w:rPr>
          <w:rFonts w:asciiTheme="minorHAnsi" w:hAnsiTheme="minorHAnsi" w:cs="Times New Roman"/>
          <w:sz w:val="24"/>
          <w:szCs w:val="24"/>
          <w:lang w:val="en-GB"/>
        </w:rPr>
        <w:t>.</w:t>
      </w:r>
      <w:r w:rsidRPr="00126B2F">
        <w:rPr>
          <w:rFonts w:asciiTheme="minorHAnsi" w:hAnsiTheme="minorHAnsi" w:cs="Times New Roman"/>
          <w:i/>
          <w:iCs/>
          <w:sz w:val="24"/>
          <w:szCs w:val="24"/>
          <w:lang w:val="en-GB"/>
        </w:rPr>
        <w:t>Journal of Financial Economics</w:t>
      </w:r>
      <w:r w:rsidR="004E519F"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3</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4</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305-60.</w:t>
      </w:r>
    </w:p>
    <w:p w14:paraId="6DAB6987"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42E8DCDC" w14:textId="6778E758" w:rsidR="006856C2" w:rsidRDefault="007C3902"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lastRenderedPageBreak/>
        <w:t xml:space="preserve">Johnes, J., &amp; Virmani, S. (2020). ‘Chief executive pay in UK higher education: the role of university performance’. </w:t>
      </w:r>
      <w:r w:rsidRPr="00126B2F">
        <w:rPr>
          <w:rFonts w:asciiTheme="minorHAnsi" w:hAnsiTheme="minorHAnsi" w:cs="Times New Roman"/>
          <w:i/>
          <w:iCs/>
          <w:sz w:val="24"/>
          <w:szCs w:val="24"/>
          <w:lang w:val="en-GB"/>
        </w:rPr>
        <w:t>Annals of Operations Research</w:t>
      </w:r>
      <w:r w:rsidRPr="00126B2F">
        <w:rPr>
          <w:rFonts w:asciiTheme="minorHAnsi" w:hAnsiTheme="minorHAnsi" w:cs="Times New Roman"/>
          <w:sz w:val="24"/>
          <w:szCs w:val="24"/>
          <w:lang w:val="en-GB"/>
        </w:rPr>
        <w:t>, 288(2), 547-576. doi:10.1007/s10479-019-03275-2</w:t>
      </w:r>
    </w:p>
    <w:p w14:paraId="245001C6" w14:textId="77777777" w:rsidR="007840FD" w:rsidRPr="00097BB1" w:rsidRDefault="007840FD" w:rsidP="00F7771F">
      <w:pPr>
        <w:pStyle w:val="EndNoteBibliography"/>
        <w:spacing w:after="0" w:line="360" w:lineRule="auto"/>
        <w:rPr>
          <w:rFonts w:asciiTheme="minorHAnsi" w:hAnsiTheme="minorHAnsi" w:cs="Times New Roman"/>
          <w:sz w:val="24"/>
          <w:szCs w:val="24"/>
          <w:lang w:val="en-GB"/>
        </w:rPr>
      </w:pPr>
    </w:p>
    <w:p w14:paraId="63FC5F6B" w14:textId="4521F60B"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097BB1">
        <w:rPr>
          <w:rFonts w:asciiTheme="minorHAnsi" w:hAnsiTheme="minorHAnsi" w:cs="Times New Roman"/>
          <w:sz w:val="24"/>
          <w:szCs w:val="24"/>
          <w:lang w:val="en-GB"/>
        </w:rPr>
        <w:t>Kivistö, J</w:t>
      </w:r>
      <w:r w:rsidR="004E519F" w:rsidRPr="00097BB1">
        <w:rPr>
          <w:rFonts w:asciiTheme="minorHAnsi" w:hAnsiTheme="minorHAnsi" w:cs="Times New Roman"/>
          <w:sz w:val="24"/>
          <w:szCs w:val="24"/>
          <w:lang w:val="en-GB"/>
        </w:rPr>
        <w:t>.</w:t>
      </w:r>
      <w:r w:rsidRPr="00097BB1">
        <w:rPr>
          <w:rFonts w:asciiTheme="minorHAnsi" w:hAnsiTheme="minorHAnsi" w:cs="Times New Roman"/>
          <w:sz w:val="24"/>
          <w:szCs w:val="24"/>
          <w:lang w:val="en-GB"/>
        </w:rPr>
        <w:t xml:space="preserve"> </w:t>
      </w:r>
      <w:r w:rsidR="004E519F" w:rsidRPr="00097BB1">
        <w:rPr>
          <w:rFonts w:asciiTheme="minorHAnsi" w:hAnsiTheme="minorHAnsi" w:cs="Times New Roman"/>
          <w:sz w:val="24"/>
          <w:szCs w:val="24"/>
          <w:lang w:val="en-GB"/>
        </w:rPr>
        <w:t>(</w:t>
      </w:r>
      <w:r w:rsidRPr="00097BB1">
        <w:rPr>
          <w:rFonts w:asciiTheme="minorHAnsi" w:hAnsiTheme="minorHAnsi" w:cs="Times New Roman"/>
          <w:sz w:val="24"/>
          <w:szCs w:val="24"/>
          <w:lang w:val="en-GB"/>
        </w:rPr>
        <w:t>2008</w:t>
      </w:r>
      <w:r w:rsidR="004E519F" w:rsidRPr="00097BB1">
        <w:rPr>
          <w:rFonts w:asciiTheme="minorHAnsi" w:hAnsiTheme="minorHAnsi" w:cs="Times New Roman"/>
          <w:sz w:val="24"/>
          <w:szCs w:val="24"/>
          <w:lang w:val="en-GB"/>
        </w:rPr>
        <w:t>).</w:t>
      </w:r>
      <w:r w:rsidRPr="00097BB1">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'An assessment of agency theory as a framework for the government–university relationship'</w:t>
      </w:r>
      <w:r w:rsidR="004E519F"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Journal of Higher Education Policy and Management</w:t>
      </w:r>
      <w:r w:rsidR="004E519F"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30</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4</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339-50.</w:t>
      </w:r>
    </w:p>
    <w:p w14:paraId="63E583FB"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7705148A" w14:textId="20561FA1"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Kniest, P</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2017</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'Australian universities top world rankings</w:t>
      </w:r>
      <w:r w:rsidR="004E519F"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 for VC pay'</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Journal of the National Tertiary Education Union</w:t>
      </w:r>
      <w:r w:rsidRPr="00126B2F">
        <w:rPr>
          <w:rFonts w:asciiTheme="minorHAnsi" w:hAnsiTheme="minorHAnsi" w:cs="Times New Roman"/>
          <w:sz w:val="24"/>
          <w:szCs w:val="24"/>
          <w:lang w:val="en-GB"/>
        </w:rPr>
        <w:t>, 24</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18-9.</w:t>
      </w:r>
    </w:p>
    <w:p w14:paraId="18F1E29A"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128EFA27" w14:textId="29E6215C"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Krueger, A</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O</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1974</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'The Political Economy of the Rent-Seeking Society'</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The American Economic Review</w:t>
      </w:r>
      <w:r w:rsidRPr="00126B2F">
        <w:rPr>
          <w:rFonts w:asciiTheme="minorHAnsi" w:hAnsiTheme="minorHAnsi" w:cs="Times New Roman"/>
          <w:sz w:val="24"/>
          <w:szCs w:val="24"/>
          <w:lang w:val="en-GB"/>
        </w:rPr>
        <w:t>, 64</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3</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291-303.</w:t>
      </w:r>
    </w:p>
    <w:p w14:paraId="121F533B"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6C8C697" w14:textId="6FAB9A4B"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Langford, S</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2018</w:t>
      </w:r>
      <w:r w:rsidR="004E519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B60B59" w:rsidRPr="00126B2F">
        <w:rPr>
          <w:rFonts w:asciiTheme="minorHAnsi" w:hAnsiTheme="minorHAnsi" w:cs="Times New Roman"/>
          <w:sz w:val="24"/>
          <w:szCs w:val="24"/>
          <w:lang w:val="en-GB"/>
        </w:rPr>
        <w:t>‘</w:t>
      </w:r>
      <w:r w:rsidRPr="00126B2F">
        <w:rPr>
          <w:rFonts w:asciiTheme="minorHAnsi" w:hAnsiTheme="minorHAnsi" w:cs="Times New Roman"/>
          <w:iCs/>
          <w:sz w:val="24"/>
          <w:szCs w:val="24"/>
          <w:lang w:val="en-GB"/>
        </w:rPr>
        <w:t>Australian uni bosses are paid obscenely high salaries for no good</w:t>
      </w:r>
      <w:r w:rsidRPr="00126B2F">
        <w:rPr>
          <w:rFonts w:asciiTheme="minorHAnsi" w:hAnsiTheme="minorHAnsi" w:cs="Times New Roman"/>
          <w:i/>
          <w:iCs/>
          <w:sz w:val="24"/>
          <w:szCs w:val="24"/>
          <w:lang w:val="en-GB"/>
        </w:rPr>
        <w:t xml:space="preserve"> </w:t>
      </w:r>
      <w:r w:rsidRPr="00126B2F">
        <w:rPr>
          <w:rFonts w:asciiTheme="minorHAnsi" w:hAnsiTheme="minorHAnsi" w:cs="Times New Roman"/>
          <w:iCs/>
          <w:sz w:val="24"/>
          <w:szCs w:val="24"/>
          <w:lang w:val="en-GB"/>
        </w:rPr>
        <w:t>reason</w:t>
      </w:r>
      <w:r w:rsidR="00B60B59" w:rsidRPr="00126B2F">
        <w:rPr>
          <w:rFonts w:asciiTheme="minorHAnsi" w:hAnsiTheme="minorHAnsi" w:cs="Times New Roman"/>
          <w:i/>
          <w:iCs/>
          <w:sz w:val="24"/>
          <w:szCs w:val="24"/>
          <w:lang w:val="en-GB"/>
        </w:rPr>
        <w:t>’</w:t>
      </w:r>
      <w:r w:rsidR="00B60B59" w:rsidRPr="00126B2F">
        <w:rPr>
          <w:rFonts w:asciiTheme="minorHAnsi" w:hAnsiTheme="minorHAnsi" w:cs="Times New Roman"/>
          <w:sz w:val="24"/>
          <w:szCs w:val="24"/>
          <w:lang w:val="en-GB"/>
        </w:rPr>
        <w:t xml:space="preserve">. Junkee Media, </w:t>
      </w:r>
      <w:r w:rsidRPr="00126B2F">
        <w:rPr>
          <w:rFonts w:asciiTheme="minorHAnsi" w:hAnsiTheme="minorHAnsi" w:cs="Times New Roman"/>
          <w:sz w:val="24"/>
          <w:szCs w:val="24"/>
          <w:lang w:val="en-GB"/>
        </w:rPr>
        <w:t xml:space="preserve"> 22 January 2018</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B60B59"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&lt;</w:t>
      </w:r>
      <w:hyperlink r:id="rId10" w:history="1">
        <w:r w:rsidRPr="00126B2F">
          <w:rPr>
            <w:rFonts w:asciiTheme="minorHAnsi" w:hAnsiTheme="minorHAnsi" w:cs="Times New Roman"/>
            <w:sz w:val="24"/>
            <w:szCs w:val="24"/>
            <w:lang w:val="en-GB"/>
          </w:rPr>
          <w:t>https://junkee.com/university-vice-chancellor-salary/143593</w:t>
        </w:r>
      </w:hyperlink>
      <w:r w:rsidRPr="00126B2F">
        <w:rPr>
          <w:rFonts w:asciiTheme="minorHAnsi" w:hAnsiTheme="minorHAnsi" w:cs="Times New Roman"/>
          <w:sz w:val="24"/>
          <w:szCs w:val="24"/>
          <w:lang w:val="en-GB"/>
        </w:rPr>
        <w:t>&gt;</w:t>
      </w:r>
      <w:r w:rsidR="00B60B59" w:rsidRPr="00126B2F">
        <w:rPr>
          <w:rFonts w:asciiTheme="minorHAnsi" w:hAnsiTheme="minorHAnsi" w:cs="Times New Roman"/>
          <w:sz w:val="24"/>
          <w:szCs w:val="24"/>
          <w:lang w:val="en-GB"/>
        </w:rPr>
        <w:t>. 21 June 2018.</w:t>
      </w:r>
    </w:p>
    <w:p w14:paraId="254B22A3" w14:textId="22366CD4" w:rsidR="004A243F" w:rsidRPr="00126B2F" w:rsidRDefault="004A243F" w:rsidP="00F7771F">
      <w:pPr>
        <w:pStyle w:val="EndNoteBibliography"/>
        <w:spacing w:after="0" w:line="360" w:lineRule="auto"/>
        <w:rPr>
          <w:rFonts w:asciiTheme="minorHAnsi" w:hAnsiTheme="minorHAnsi" w:cs="Times New Roman"/>
          <w:sz w:val="24"/>
          <w:szCs w:val="24"/>
          <w:lang w:val="en-GB"/>
        </w:rPr>
      </w:pPr>
    </w:p>
    <w:p w14:paraId="1CF9B52B" w14:textId="032388B5" w:rsidR="004A243F" w:rsidRPr="00126B2F" w:rsidRDefault="004A243F"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color w:val="000000"/>
          <w:sz w:val="24"/>
          <w:szCs w:val="24"/>
          <w:lang w:val="en-GB"/>
        </w:rPr>
        <w:t xml:space="preserve">Lazear, E.P., and Rosen, S. (1981). Rank order torunaments as optimum labor contracts, </w:t>
      </w:r>
      <w:r w:rsidRPr="00126B2F">
        <w:rPr>
          <w:rFonts w:asciiTheme="minorHAnsi" w:hAnsiTheme="minorHAnsi" w:cs="Times New Roman"/>
          <w:i/>
          <w:color w:val="000000"/>
          <w:sz w:val="24"/>
          <w:szCs w:val="24"/>
          <w:lang w:val="en-GB"/>
        </w:rPr>
        <w:t>The Journal of Political Economy,</w:t>
      </w:r>
      <w:r w:rsidRPr="00126B2F">
        <w:rPr>
          <w:rFonts w:asciiTheme="minorHAnsi" w:hAnsiTheme="minorHAnsi" w:cs="Times New Roman"/>
          <w:color w:val="000000"/>
          <w:sz w:val="24"/>
          <w:szCs w:val="24"/>
          <w:lang w:val="en-GB"/>
        </w:rPr>
        <w:t xml:space="preserve"> 89(5), 841-64.</w:t>
      </w:r>
    </w:p>
    <w:p w14:paraId="6F77659F"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2826BA3" w14:textId="014123D4"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Loussikian, K</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2018</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'The nation’s highest paid university leaders'</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The Sydney Morning Herald</w:t>
      </w:r>
      <w:r w:rsidRPr="00126B2F">
        <w:rPr>
          <w:rFonts w:asciiTheme="minorHAnsi" w:hAnsiTheme="minorHAnsi" w:cs="Times New Roman"/>
          <w:sz w:val="24"/>
          <w:szCs w:val="24"/>
          <w:lang w:val="en-GB"/>
        </w:rPr>
        <w:t>, 27 August 2018</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B60B59" w:rsidRPr="00126B2F">
        <w:rPr>
          <w:rStyle w:val="Hyperlink"/>
          <w:rFonts w:asciiTheme="minorHAnsi" w:hAnsiTheme="minorHAnsi" w:cs="Times New Roman"/>
          <w:color w:val="auto"/>
          <w:sz w:val="24"/>
          <w:szCs w:val="24"/>
          <w:u w:val="none"/>
          <w:lang w:val="en-GB"/>
        </w:rPr>
        <w:t>https://www.smh.com.au/politics/federal/the-nation-s-highest-paid-university-leaders-20180826-p4zztd.html. Accessed 14 September 2018.</w:t>
      </w:r>
    </w:p>
    <w:p w14:paraId="70683530"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68CD5EA2" w14:textId="08FC86B4"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Marginson, S</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1989</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'Academic salaries in Australia 1967-1990'</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The Australian Universities Review</w:t>
      </w:r>
      <w:r w:rsidRPr="00126B2F">
        <w:rPr>
          <w:rFonts w:asciiTheme="minorHAnsi" w:hAnsiTheme="minorHAnsi" w:cs="Times New Roman"/>
          <w:sz w:val="24"/>
          <w:szCs w:val="24"/>
          <w:lang w:val="en-GB"/>
        </w:rPr>
        <w:t>, 32</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14-24.</w:t>
      </w:r>
    </w:p>
    <w:p w14:paraId="29B451C8"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05B232D6" w14:textId="2CDF1740"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Marginson, S</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Considine, M</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2000</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The Enterprise University: Power, governance and reinvention in Australia</w:t>
      </w:r>
      <w:r w:rsidR="00B60B59" w:rsidRPr="00126B2F">
        <w:rPr>
          <w:rFonts w:asciiTheme="minorHAnsi" w:hAnsiTheme="minorHAnsi" w:cs="Times New Roman"/>
          <w:sz w:val="24"/>
          <w:szCs w:val="24"/>
          <w:lang w:val="en-GB"/>
        </w:rPr>
        <w:t xml:space="preserve">. Melbourne: </w:t>
      </w:r>
      <w:r w:rsidRPr="00126B2F">
        <w:rPr>
          <w:rFonts w:asciiTheme="minorHAnsi" w:hAnsiTheme="minorHAnsi" w:cs="Times New Roman"/>
          <w:sz w:val="24"/>
          <w:szCs w:val="24"/>
          <w:lang w:val="en-GB"/>
        </w:rPr>
        <w:t>Cambridge University Press.</w:t>
      </w:r>
    </w:p>
    <w:p w14:paraId="2054F2AB"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75EE4310" w14:textId="6C796A14"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Marshall, R</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2017</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‘Out of whack: U.S. CEO pay and long-term investment returns’, MSCI ESG Research, New York </w:t>
      </w:r>
      <w:r w:rsidRPr="00126B2F">
        <w:rPr>
          <w:rFonts w:asciiTheme="minorHAnsi" w:hAnsiTheme="minorHAnsi" w:cs="Times New Roman"/>
          <w:sz w:val="24"/>
          <w:szCs w:val="24"/>
          <w:lang w:val="en-GB"/>
        </w:rPr>
        <w:lastRenderedPageBreak/>
        <w:t>https://www.msci.com/documents/1296102/7330587/Research_Insight_Out_of_Whack.pdf/46baa603-a503-42c1-91c0-d0ef19b754b2</w:t>
      </w:r>
      <w:r w:rsidR="00B60B59" w:rsidRPr="00126B2F">
        <w:rPr>
          <w:rFonts w:asciiTheme="minorHAnsi" w:hAnsiTheme="minorHAnsi" w:cs="Times New Roman"/>
          <w:sz w:val="24"/>
          <w:szCs w:val="24"/>
          <w:lang w:val="en-GB"/>
        </w:rPr>
        <w:t>. Accessed 14 August 2018.</w:t>
      </w:r>
    </w:p>
    <w:p w14:paraId="25D4B643"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6C60FB6F" w14:textId="4ECDBF74"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McNay, I</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1999</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'Changing cultures in UK higher education: the state as corporate market bureaucracy and the emergent academic enterprises'</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B60B59" w:rsidRPr="00126B2F">
        <w:rPr>
          <w:rFonts w:asciiTheme="minorHAnsi" w:hAnsiTheme="minorHAnsi" w:cs="Times New Roman"/>
          <w:sz w:val="24"/>
          <w:szCs w:val="24"/>
          <w:lang w:val="en-GB"/>
        </w:rPr>
        <w:t>I</w:t>
      </w:r>
      <w:r w:rsidRPr="00126B2F">
        <w:rPr>
          <w:rFonts w:asciiTheme="minorHAnsi" w:hAnsiTheme="minorHAnsi" w:cs="Times New Roman"/>
          <w:sz w:val="24"/>
          <w:szCs w:val="24"/>
          <w:lang w:val="en-GB"/>
        </w:rPr>
        <w:t>n D</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Braun &amp; F-X</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Merrien (</w:t>
      </w:r>
      <w:r w:rsidR="00B60B59" w:rsidRPr="00126B2F">
        <w:rPr>
          <w:rFonts w:asciiTheme="minorHAnsi" w:hAnsiTheme="minorHAnsi" w:cs="Times New Roman"/>
          <w:sz w:val="24"/>
          <w:szCs w:val="24"/>
          <w:lang w:val="en-GB"/>
        </w:rPr>
        <w:t>E</w:t>
      </w:r>
      <w:r w:rsidRPr="00126B2F">
        <w:rPr>
          <w:rFonts w:asciiTheme="minorHAnsi" w:hAnsiTheme="minorHAnsi" w:cs="Times New Roman"/>
          <w:sz w:val="24"/>
          <w:szCs w:val="24"/>
          <w:lang w:val="en-GB"/>
        </w:rPr>
        <w:t>ds</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w:t>
      </w:r>
      <w:r w:rsidR="00B60B59"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Towards a New Model of Governance for Universities: A comparative view</w:t>
      </w:r>
      <w:r w:rsidR="00B60B59" w:rsidRPr="00126B2F">
        <w:rPr>
          <w:rFonts w:asciiTheme="minorHAnsi" w:hAnsiTheme="minorHAnsi" w:cs="Times New Roman"/>
          <w:sz w:val="24"/>
          <w:szCs w:val="24"/>
          <w:lang w:val="en-GB"/>
        </w:rPr>
        <w:t>. London:</w:t>
      </w:r>
      <w:r w:rsidRPr="00126B2F">
        <w:rPr>
          <w:rFonts w:asciiTheme="minorHAnsi" w:hAnsiTheme="minorHAnsi" w:cs="Times New Roman"/>
          <w:sz w:val="24"/>
          <w:szCs w:val="24"/>
          <w:lang w:val="en-GB"/>
        </w:rPr>
        <w:t xml:space="preserve"> Jessica Kingsley, 34-58.</w:t>
      </w:r>
    </w:p>
    <w:p w14:paraId="5F9ABC05"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7B9BE10A" w14:textId="5423AAB7"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Moodie, G</w:t>
      </w:r>
      <w:r w:rsidR="00D718B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C</w:t>
      </w:r>
      <w:r w:rsidR="00D718B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Eustace, R</w:t>
      </w:r>
      <w:r w:rsidR="00D718B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D718B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1974</w:t>
      </w:r>
      <w:r w:rsidR="00D718B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Power and Authority in British Universities</w:t>
      </w:r>
      <w:r w:rsidR="00D718BF"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D718BF" w:rsidRPr="00126B2F">
        <w:rPr>
          <w:rFonts w:asciiTheme="minorHAnsi" w:hAnsiTheme="minorHAnsi" w:cs="Times New Roman"/>
          <w:sz w:val="24"/>
          <w:szCs w:val="24"/>
          <w:lang w:val="en-GB"/>
        </w:rPr>
        <w:t xml:space="preserve">London: </w:t>
      </w:r>
      <w:r w:rsidRPr="00126B2F">
        <w:rPr>
          <w:rFonts w:asciiTheme="minorHAnsi" w:hAnsiTheme="minorHAnsi" w:cs="Times New Roman"/>
          <w:sz w:val="24"/>
          <w:szCs w:val="24"/>
          <w:lang w:val="en-GB"/>
        </w:rPr>
        <w:t>George Allen and Unwin.</w:t>
      </w:r>
    </w:p>
    <w:p w14:paraId="26153C03"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17AC10D7" w14:textId="22D9A007"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Neokleous, I</w:t>
      </w:r>
      <w:r w:rsidR="00371331"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C</w:t>
      </w:r>
      <w:r w:rsidR="00371331"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71331"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2015</w:t>
      </w:r>
      <w:r w:rsidR="00371331"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'Executive compensation as a corporate governance problem'</w:t>
      </w:r>
      <w:r w:rsidR="00371331"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Essex Student Research Online</w:t>
      </w:r>
      <w:r w:rsidR="00371331"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7</w:t>
      </w:r>
      <w:r w:rsidR="00371331"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w:t>
      </w:r>
      <w:r w:rsidR="00371331"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w:t>
      </w:r>
      <w:r w:rsidR="00371331"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27-41.</w:t>
      </w:r>
    </w:p>
    <w:p w14:paraId="3663A3ED" w14:textId="27949311" w:rsidR="00FE1823" w:rsidRPr="00126B2F" w:rsidRDefault="00FE1823" w:rsidP="00F7771F">
      <w:pPr>
        <w:pStyle w:val="EndNoteBibliography"/>
        <w:spacing w:after="0" w:line="360" w:lineRule="auto"/>
        <w:rPr>
          <w:rFonts w:asciiTheme="minorHAnsi" w:hAnsiTheme="minorHAnsi" w:cs="Times New Roman"/>
          <w:sz w:val="24"/>
          <w:szCs w:val="24"/>
          <w:lang w:val="en-GB"/>
        </w:rPr>
      </w:pPr>
    </w:p>
    <w:p w14:paraId="0FFBD25A" w14:textId="4129B997" w:rsidR="00932283" w:rsidRDefault="00FE1823" w:rsidP="00F7771F">
      <w:pPr>
        <w:pStyle w:val="EndNoteBibliography"/>
        <w:spacing w:after="0" w:line="360" w:lineRule="auto"/>
        <w:rPr>
          <w:rFonts w:asciiTheme="minorHAnsi" w:hAnsiTheme="minorHAnsi" w:cs="Times New Roman"/>
          <w:sz w:val="24"/>
          <w:szCs w:val="24"/>
        </w:rPr>
      </w:pPr>
      <w:r w:rsidRPr="00126B2F">
        <w:rPr>
          <w:rFonts w:asciiTheme="minorHAnsi" w:hAnsiTheme="minorHAnsi" w:cs="Times New Roman"/>
          <w:sz w:val="24"/>
          <w:szCs w:val="24"/>
          <w:lang w:val="en-GB"/>
        </w:rPr>
        <w:t>OfS (2020)</w:t>
      </w:r>
      <w:r w:rsidR="007840FD">
        <w:rPr>
          <w:rFonts w:asciiTheme="minorHAnsi" w:hAnsiTheme="minorHAnsi" w:cs="Times New Roman"/>
          <w:sz w:val="24"/>
          <w:szCs w:val="24"/>
          <w:lang w:val="en-GB"/>
        </w:rPr>
        <w:t>.</w:t>
      </w:r>
      <w:r w:rsidRPr="007840FD">
        <w:rPr>
          <w:rFonts w:asciiTheme="minorHAnsi" w:hAnsiTheme="minorHAnsi" w:cs="Times New Roman"/>
          <w:sz w:val="24"/>
          <w:szCs w:val="24"/>
          <w:lang w:val="en-GB"/>
        </w:rPr>
        <w:t xml:space="preserve"> </w:t>
      </w:r>
      <w:r w:rsidR="007840FD" w:rsidRPr="00126B2F">
        <w:rPr>
          <w:rFonts w:asciiTheme="minorHAnsi" w:hAnsiTheme="minorHAnsi" w:cs="Times New Roman"/>
          <w:i/>
          <w:iCs/>
          <w:sz w:val="24"/>
          <w:szCs w:val="24"/>
          <w:lang w:val="en-GB"/>
        </w:rPr>
        <w:t>Office for Students</w:t>
      </w:r>
      <w:r w:rsidR="007840FD" w:rsidRPr="00126B2F">
        <w:rPr>
          <w:rFonts w:asciiTheme="minorHAnsi" w:hAnsiTheme="minorHAnsi" w:cs="Times New Roman"/>
          <w:sz w:val="24"/>
          <w:szCs w:val="24"/>
          <w:lang w:val="en-GB"/>
        </w:rPr>
        <w:t xml:space="preserve">.  </w:t>
      </w:r>
      <w:r w:rsidR="007840FD" w:rsidRPr="00951F27">
        <w:rPr>
          <w:rFonts w:asciiTheme="minorHAnsi" w:hAnsiTheme="minorHAnsi" w:cs="Times New Roman"/>
          <w:sz w:val="24"/>
          <w:szCs w:val="24"/>
        </w:rPr>
        <w:t>https://www.officeforstudents.org.uk/advice-and-guidance/regulation/senior-staff-pay/</w:t>
      </w:r>
      <w:r w:rsidR="007840FD">
        <w:rPr>
          <w:rFonts w:asciiTheme="minorHAnsi" w:hAnsiTheme="minorHAnsi" w:cs="Times New Roman"/>
          <w:sz w:val="24"/>
          <w:szCs w:val="24"/>
        </w:rPr>
        <w:t xml:space="preserve"> Accessed 23 May 2020</w:t>
      </w:r>
    </w:p>
    <w:p w14:paraId="56B5119D" w14:textId="77777777" w:rsidR="00951F27" w:rsidRPr="00126B2F" w:rsidRDefault="00951F27" w:rsidP="00F7771F">
      <w:pPr>
        <w:pStyle w:val="EndNoteBibliography"/>
        <w:spacing w:after="0" w:line="360" w:lineRule="auto"/>
        <w:rPr>
          <w:rFonts w:asciiTheme="minorHAnsi" w:hAnsiTheme="minorHAnsi" w:cs="Times New Roman"/>
          <w:sz w:val="24"/>
          <w:szCs w:val="24"/>
          <w:lang w:val="en-GB"/>
        </w:rPr>
      </w:pPr>
    </w:p>
    <w:p w14:paraId="4AC18F27" w14:textId="0DEA37D6"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Panda, B</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Leepsa, N</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M</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2017</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'Agency theory: Review of theory and evidence on problems and perspectives'</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Indian Journal of Corporate Governance</w:t>
      </w:r>
      <w:r w:rsidRPr="00126B2F">
        <w:rPr>
          <w:rFonts w:asciiTheme="minorHAnsi" w:hAnsiTheme="minorHAnsi" w:cs="Times New Roman"/>
          <w:sz w:val="24"/>
          <w:szCs w:val="24"/>
          <w:lang w:val="en-GB"/>
        </w:rPr>
        <w:t>,</w:t>
      </w:r>
      <w:r w:rsidR="00E839E2"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10</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74-95.</w:t>
      </w:r>
    </w:p>
    <w:p w14:paraId="7E9D9771"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7EC7C6CE" w14:textId="535D496E"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Pusey, M</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1991</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Economic Rationalism in Canberra: A nation-building state changes its mind</w:t>
      </w:r>
      <w:r w:rsidRPr="00126B2F">
        <w:rPr>
          <w:rFonts w:asciiTheme="minorHAnsi" w:hAnsiTheme="minorHAnsi" w:cs="Times New Roman"/>
          <w:sz w:val="24"/>
          <w:szCs w:val="24"/>
          <w:lang w:val="en-GB"/>
        </w:rPr>
        <w:t xml:space="preserve">, </w:t>
      </w:r>
      <w:r w:rsidR="00E839E2" w:rsidRPr="00126B2F">
        <w:rPr>
          <w:rFonts w:asciiTheme="minorHAnsi" w:hAnsiTheme="minorHAnsi" w:cs="Times New Roman"/>
          <w:sz w:val="24"/>
          <w:szCs w:val="24"/>
          <w:lang w:val="en-GB"/>
        </w:rPr>
        <w:t xml:space="preserve">Cambridge: </w:t>
      </w:r>
      <w:r w:rsidRPr="00126B2F">
        <w:rPr>
          <w:rFonts w:asciiTheme="minorHAnsi" w:hAnsiTheme="minorHAnsi" w:cs="Times New Roman"/>
          <w:sz w:val="24"/>
          <w:szCs w:val="24"/>
          <w:lang w:val="en-GB"/>
        </w:rPr>
        <w:t>Cambridge University Press.</w:t>
      </w:r>
    </w:p>
    <w:p w14:paraId="5122B74F"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3BDF2FE2" w14:textId="600B860A"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Rani, P</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2009</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 xml:space="preserve">Determination of Academic Pay in Universities and Colleges: An International Perspective, </w:t>
      </w:r>
      <w:r w:rsidRPr="00126B2F">
        <w:rPr>
          <w:rFonts w:asciiTheme="minorHAnsi" w:hAnsiTheme="minorHAnsi" w:cs="Times New Roman"/>
          <w:sz w:val="24"/>
          <w:szCs w:val="24"/>
          <w:lang w:val="en-GB"/>
        </w:rPr>
        <w:t>Department of Education Finance, National University of Educational Planning and Administration</w:t>
      </w:r>
      <w:r w:rsidR="00E839E2"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New Delhi</w:t>
      </w:r>
      <w:r w:rsidR="00E839E2"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hyperlink r:id="rId11" w:history="1">
        <w:r w:rsidR="00886048" w:rsidRPr="00126B2F">
          <w:rPr>
            <w:rStyle w:val="Hyperlink"/>
            <w:rFonts w:asciiTheme="minorHAnsi" w:hAnsiTheme="minorHAnsi" w:cs="Times New Roman"/>
            <w:sz w:val="24"/>
            <w:szCs w:val="24"/>
            <w:lang w:val="en-GB"/>
          </w:rPr>
          <w:t>file:///C:/Users/jbuck/Downloads/ReportoftheResearch-frontpages1.pdf. Accessed 10 January 2019</w:t>
        </w:r>
      </w:hyperlink>
      <w:r w:rsidR="00E839E2" w:rsidRPr="00126B2F">
        <w:rPr>
          <w:rFonts w:asciiTheme="minorHAnsi" w:hAnsiTheme="minorHAnsi" w:cs="Times New Roman"/>
          <w:sz w:val="24"/>
          <w:szCs w:val="24"/>
          <w:lang w:val="en-GB"/>
        </w:rPr>
        <w:t>.</w:t>
      </w:r>
    </w:p>
    <w:p w14:paraId="35221F00" w14:textId="790C1604" w:rsidR="00C001EB" w:rsidRPr="00126B2F" w:rsidRDefault="00C001EB" w:rsidP="00F7771F">
      <w:pPr>
        <w:pStyle w:val="EndNoteBibliography"/>
        <w:spacing w:after="0" w:line="360" w:lineRule="auto"/>
        <w:rPr>
          <w:rFonts w:asciiTheme="minorHAnsi" w:hAnsiTheme="minorHAnsi" w:cs="Times New Roman"/>
          <w:sz w:val="24"/>
          <w:szCs w:val="24"/>
          <w:lang w:val="en-GB"/>
        </w:rPr>
      </w:pPr>
    </w:p>
    <w:p w14:paraId="3CF0D7CF" w14:textId="3DEFB785" w:rsidR="001F3383" w:rsidRPr="00126B2F" w:rsidRDefault="00C001EB"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AU"/>
        </w:rPr>
        <w:t xml:space="preserve">Ross, J. (2020). ‘Three in four Australian v-cs take pay cuts’. </w:t>
      </w:r>
      <w:r w:rsidRPr="00126B2F">
        <w:rPr>
          <w:rFonts w:asciiTheme="minorHAnsi" w:hAnsiTheme="minorHAnsi" w:cs="Times New Roman"/>
          <w:i/>
          <w:iCs/>
          <w:sz w:val="24"/>
          <w:szCs w:val="24"/>
          <w:lang w:val="en-AU"/>
        </w:rPr>
        <w:t>THE.</w:t>
      </w:r>
      <w:r w:rsidRPr="00126B2F">
        <w:rPr>
          <w:rFonts w:asciiTheme="minorHAnsi" w:hAnsiTheme="minorHAnsi" w:cs="Times New Roman"/>
          <w:sz w:val="24"/>
          <w:szCs w:val="24"/>
          <w:lang w:val="en-AU"/>
        </w:rPr>
        <w:t xml:space="preserve"> Accessed 3 June 2020 </w:t>
      </w:r>
      <w:hyperlink r:id="rId12" w:history="1">
        <w:r w:rsidRPr="00126B2F">
          <w:rPr>
            <w:rFonts w:asciiTheme="minorHAnsi" w:hAnsiTheme="minorHAnsi" w:cs="Times New Roman"/>
            <w:sz w:val="24"/>
            <w:szCs w:val="24"/>
            <w:lang w:val="en-AU"/>
          </w:rPr>
          <w:t>https://www.timeshighereducation.com/news/three-four-australian-v-cs-take-pay-cuts</w:t>
        </w:r>
      </w:hyperlink>
    </w:p>
    <w:p w14:paraId="4CB9EF2B" w14:textId="77777777" w:rsidR="00951F27" w:rsidRDefault="00951F27" w:rsidP="00F7771F">
      <w:pPr>
        <w:pStyle w:val="EndNoteBibliography"/>
        <w:spacing w:after="0" w:line="360" w:lineRule="auto"/>
        <w:rPr>
          <w:rFonts w:asciiTheme="minorHAnsi" w:hAnsiTheme="minorHAnsi" w:cs="Times New Roman"/>
          <w:sz w:val="24"/>
          <w:szCs w:val="24"/>
          <w:lang w:val="en-AU"/>
        </w:rPr>
      </w:pPr>
    </w:p>
    <w:p w14:paraId="4589E72D" w14:textId="791C4618" w:rsidR="001F3383" w:rsidRPr="00126B2F" w:rsidRDefault="001F3383" w:rsidP="00F7771F">
      <w:pPr>
        <w:pStyle w:val="EndNoteBibliography"/>
        <w:spacing w:after="0" w:line="360" w:lineRule="auto"/>
        <w:rPr>
          <w:rFonts w:asciiTheme="minorHAnsi" w:hAnsiTheme="minorHAnsi" w:cs="Times New Roman"/>
          <w:sz w:val="24"/>
          <w:szCs w:val="24"/>
          <w:lang w:val="en-AU"/>
        </w:rPr>
      </w:pPr>
      <w:r w:rsidRPr="00126B2F">
        <w:rPr>
          <w:rFonts w:asciiTheme="minorHAnsi" w:hAnsiTheme="minorHAnsi" w:cs="Times New Roman"/>
          <w:sz w:val="24"/>
          <w:szCs w:val="24"/>
          <w:lang w:val="en-AU"/>
        </w:rPr>
        <w:lastRenderedPageBreak/>
        <w:t>Ross, J. (2020). ‘Average Australian v-c pay packet may top A$1m’.</w:t>
      </w:r>
      <w:r w:rsidRPr="00126B2F">
        <w:rPr>
          <w:rFonts w:asciiTheme="minorHAnsi" w:hAnsiTheme="minorHAnsi" w:cs="Times New Roman"/>
          <w:i/>
          <w:iCs/>
          <w:sz w:val="24"/>
          <w:szCs w:val="24"/>
          <w:lang w:val="en-AU"/>
        </w:rPr>
        <w:t xml:space="preserve"> Times Higher Education, </w:t>
      </w:r>
      <w:r w:rsidRPr="00126B2F">
        <w:rPr>
          <w:rFonts w:asciiTheme="minorHAnsi" w:hAnsiTheme="minorHAnsi" w:cs="Times New Roman"/>
          <w:sz w:val="24"/>
          <w:szCs w:val="24"/>
          <w:lang w:val="en-AU"/>
        </w:rPr>
        <w:t xml:space="preserve">accessed 26 May 2020 </w:t>
      </w:r>
      <w:hyperlink r:id="rId13" w:history="1">
        <w:r w:rsidRPr="00126B2F">
          <w:rPr>
            <w:rFonts w:asciiTheme="minorHAnsi" w:hAnsiTheme="minorHAnsi" w:cs="Times New Roman"/>
            <w:sz w:val="24"/>
            <w:szCs w:val="24"/>
            <w:lang w:val="en-AU"/>
          </w:rPr>
          <w:t>https://www.timeshighereducation.com/news/average-australian-v-c-pay-packet-may-top-a1m</w:t>
        </w:r>
      </w:hyperlink>
    </w:p>
    <w:p w14:paraId="137E576A" w14:textId="12277DED" w:rsidR="00886048" w:rsidRPr="00126B2F" w:rsidRDefault="00886048" w:rsidP="00F7771F">
      <w:pPr>
        <w:pStyle w:val="EndNoteBibliography"/>
        <w:spacing w:after="0" w:line="360" w:lineRule="auto"/>
        <w:rPr>
          <w:rFonts w:asciiTheme="minorHAnsi" w:hAnsiTheme="minorHAnsi" w:cs="Times New Roman"/>
          <w:sz w:val="24"/>
          <w:szCs w:val="24"/>
          <w:lang w:val="en-GB"/>
        </w:rPr>
      </w:pPr>
    </w:p>
    <w:p w14:paraId="72BF0BA2" w14:textId="2900438C"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Ross, S</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A</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1973</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'The Economic Theory of Agency: The Principal's Problem'</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The American Economic Review</w:t>
      </w:r>
      <w:r w:rsidR="00340C06"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63</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w:t>
      </w:r>
      <w:r w:rsidR="00340C06"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134-9.</w:t>
      </w:r>
    </w:p>
    <w:p w14:paraId="262E2E61"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4B601B3" w14:textId="2BBBFE76"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Rowlands, J</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2017</w:t>
      </w:r>
      <w:r w:rsidR="00340C06" w:rsidRPr="00126B2F">
        <w:rPr>
          <w:rFonts w:asciiTheme="minorHAnsi" w:hAnsiTheme="minorHAnsi" w:cs="Times New Roman"/>
          <w:sz w:val="24"/>
          <w:szCs w:val="24"/>
          <w:lang w:val="en-GB"/>
        </w:rPr>
        <w:t>)</w:t>
      </w:r>
      <w:r w:rsidR="007840FD">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Academic Governance within Contemporary Universities: Perspectives from Anglophone nations</w:t>
      </w:r>
      <w:r w:rsidR="00340C06" w:rsidRPr="00126B2F">
        <w:rPr>
          <w:rFonts w:asciiTheme="minorHAnsi" w:hAnsiTheme="minorHAnsi" w:cs="Times New Roman"/>
          <w:sz w:val="24"/>
          <w:szCs w:val="24"/>
          <w:lang w:val="en-GB"/>
        </w:rPr>
        <w:t xml:space="preserve">. Singapore: </w:t>
      </w:r>
      <w:r w:rsidRPr="00126B2F">
        <w:rPr>
          <w:rFonts w:asciiTheme="minorHAnsi" w:hAnsiTheme="minorHAnsi" w:cs="Times New Roman"/>
          <w:sz w:val="24"/>
          <w:szCs w:val="24"/>
          <w:lang w:val="en-GB"/>
        </w:rPr>
        <w:t>Springer Nature.</w:t>
      </w:r>
    </w:p>
    <w:p w14:paraId="656C0E49"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7D6CF3B0" w14:textId="667F73E2"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Schmidt, W</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Dworschak, B</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2006</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'Pay developments in Britain and Germany: Collective bargaining, ‘benchmarking’, and ‘mimetic wages’'</w:t>
      </w:r>
      <w:r w:rsidR="00340C06"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European Journal of Industrial Relations</w:t>
      </w:r>
      <w:r w:rsidRPr="00126B2F">
        <w:rPr>
          <w:rFonts w:asciiTheme="minorHAnsi" w:hAnsiTheme="minorHAnsi" w:cs="Times New Roman"/>
          <w:sz w:val="24"/>
          <w:szCs w:val="24"/>
          <w:lang w:val="en-GB"/>
        </w:rPr>
        <w:t>, 12</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89-109.</w:t>
      </w:r>
    </w:p>
    <w:p w14:paraId="57CD99BA"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058F58E7" w14:textId="24F8124B"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Shattock, M</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2006</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Managing Good Governance in Higher Education</w:t>
      </w:r>
      <w:r w:rsidR="00340C06" w:rsidRPr="00126B2F">
        <w:rPr>
          <w:rFonts w:asciiTheme="minorHAnsi" w:hAnsiTheme="minorHAnsi" w:cs="Times New Roman"/>
          <w:sz w:val="24"/>
          <w:szCs w:val="24"/>
          <w:lang w:val="en-GB"/>
        </w:rPr>
        <w:t xml:space="preserve">. Maidenhead: </w:t>
      </w:r>
      <w:r w:rsidRPr="00126B2F">
        <w:rPr>
          <w:rFonts w:asciiTheme="minorHAnsi" w:hAnsiTheme="minorHAnsi" w:cs="Times New Roman"/>
          <w:sz w:val="24"/>
          <w:szCs w:val="24"/>
          <w:lang w:val="en-GB"/>
        </w:rPr>
        <w:t>Open University Press.</w:t>
      </w:r>
    </w:p>
    <w:p w14:paraId="675251B5"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C158B02" w14:textId="1419268E" w:rsidR="00932283"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Shattock, M</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2012</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Making Policy In British Higher Education 1945-2011</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40C06" w:rsidRPr="00126B2F">
        <w:rPr>
          <w:rFonts w:asciiTheme="minorHAnsi" w:hAnsiTheme="minorHAnsi" w:cs="Times New Roman"/>
          <w:sz w:val="24"/>
          <w:szCs w:val="24"/>
          <w:lang w:val="en-GB"/>
        </w:rPr>
        <w:t xml:space="preserve">Maidenhead, England: </w:t>
      </w:r>
      <w:r w:rsidRPr="00126B2F">
        <w:rPr>
          <w:rFonts w:asciiTheme="minorHAnsi" w:hAnsiTheme="minorHAnsi" w:cs="Times New Roman"/>
          <w:sz w:val="24"/>
          <w:szCs w:val="24"/>
          <w:lang w:val="en-GB"/>
        </w:rPr>
        <w:t>Open University Press.</w:t>
      </w:r>
    </w:p>
    <w:p w14:paraId="23E8D893" w14:textId="36C941B7" w:rsidR="00951F27" w:rsidRDefault="00951F27" w:rsidP="00F7771F">
      <w:pPr>
        <w:pStyle w:val="EndNoteBibliography"/>
        <w:spacing w:after="0" w:line="360" w:lineRule="auto"/>
        <w:rPr>
          <w:rFonts w:asciiTheme="minorHAnsi" w:hAnsiTheme="minorHAnsi" w:cs="Times New Roman"/>
          <w:sz w:val="24"/>
          <w:szCs w:val="24"/>
          <w:lang w:val="en-GB"/>
        </w:rPr>
      </w:pPr>
    </w:p>
    <w:p w14:paraId="61EAD9CD" w14:textId="6F7E95A8" w:rsidR="00951F27" w:rsidRPr="00126B2F" w:rsidRDefault="00951F27" w:rsidP="00F7771F">
      <w:pPr>
        <w:pStyle w:val="EndNoteBibliography"/>
        <w:spacing w:after="0" w:line="360" w:lineRule="auto"/>
        <w:rPr>
          <w:rFonts w:asciiTheme="minorHAnsi" w:hAnsiTheme="minorHAnsi" w:cs="Times New Roman"/>
          <w:sz w:val="24"/>
          <w:szCs w:val="24"/>
          <w:lang w:val="en-GB"/>
        </w:rPr>
      </w:pPr>
      <w:r w:rsidRPr="00951F27">
        <w:rPr>
          <w:rFonts w:asciiTheme="minorHAnsi" w:hAnsiTheme="minorHAnsi" w:cs="Times New Roman"/>
          <w:sz w:val="24"/>
          <w:szCs w:val="24"/>
          <w:lang w:val="en-GB"/>
        </w:rPr>
        <w:t xml:space="preserve">Shattock, M. (2017). </w:t>
      </w:r>
      <w:r>
        <w:rPr>
          <w:rFonts w:asciiTheme="minorHAnsi" w:hAnsiTheme="minorHAnsi" w:cs="Times New Roman"/>
          <w:sz w:val="24"/>
          <w:szCs w:val="24"/>
          <w:lang w:val="en-GB"/>
        </w:rPr>
        <w:t>‘</w:t>
      </w:r>
      <w:r w:rsidRPr="00951F27">
        <w:rPr>
          <w:rFonts w:asciiTheme="minorHAnsi" w:hAnsiTheme="minorHAnsi" w:cs="Times New Roman"/>
          <w:sz w:val="24"/>
          <w:szCs w:val="24"/>
          <w:lang w:val="en-GB"/>
        </w:rPr>
        <w:t>University governance in flux. The impact of external and internal pressures on the distribution of authority within British universities: A synoptic view</w:t>
      </w:r>
      <w:r>
        <w:rPr>
          <w:rFonts w:asciiTheme="minorHAnsi" w:hAnsiTheme="minorHAnsi" w:cs="Times New Roman"/>
          <w:sz w:val="24"/>
          <w:szCs w:val="24"/>
          <w:lang w:val="en-GB"/>
        </w:rPr>
        <w:t>’</w:t>
      </w:r>
      <w:r w:rsidRPr="00951F27">
        <w:rPr>
          <w:rFonts w:asciiTheme="minorHAnsi" w:hAnsiTheme="minorHAnsi" w:cs="Times New Roman"/>
          <w:sz w:val="24"/>
          <w:szCs w:val="24"/>
          <w:lang w:val="en-GB"/>
        </w:rPr>
        <w:t xml:space="preserve">. </w:t>
      </w:r>
      <w:r w:rsidRPr="00951F27">
        <w:rPr>
          <w:rFonts w:asciiTheme="minorHAnsi" w:hAnsiTheme="minorHAnsi" w:cs="Times New Roman"/>
          <w:i/>
          <w:iCs/>
          <w:sz w:val="24"/>
          <w:szCs w:val="24"/>
          <w:lang w:val="en-GB"/>
        </w:rPr>
        <w:t>Higher Education Quarterly</w:t>
      </w:r>
      <w:r w:rsidRPr="00951F27">
        <w:rPr>
          <w:rFonts w:asciiTheme="minorHAnsi" w:hAnsiTheme="minorHAnsi" w:cs="Times New Roman"/>
          <w:sz w:val="24"/>
          <w:szCs w:val="24"/>
          <w:lang w:val="en-GB"/>
        </w:rPr>
        <w:t>, 71(4), 384-395.</w:t>
      </w:r>
    </w:p>
    <w:p w14:paraId="4182A80A"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4C755914" w14:textId="6069E866"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 xml:space="preserve">Smith, A. </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1937 [1776]</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The Wealth of Nations</w:t>
      </w:r>
      <w:r w:rsidR="00340C06" w:rsidRPr="00126B2F">
        <w:rPr>
          <w:rFonts w:asciiTheme="minorHAnsi" w:hAnsiTheme="minorHAnsi" w:cs="Times New Roman"/>
          <w:sz w:val="24"/>
          <w:szCs w:val="24"/>
          <w:lang w:val="en-GB"/>
        </w:rPr>
        <w:t xml:space="preserve">. New York: </w:t>
      </w:r>
      <w:r w:rsidRPr="00126B2F">
        <w:rPr>
          <w:rFonts w:asciiTheme="minorHAnsi" w:hAnsiTheme="minorHAnsi" w:cs="Times New Roman"/>
          <w:sz w:val="24"/>
          <w:szCs w:val="24"/>
          <w:lang w:val="en-GB"/>
        </w:rPr>
        <w:t>Modern Library.</w:t>
      </w:r>
    </w:p>
    <w:p w14:paraId="4CE73F1D"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5E6D161F" w14:textId="21FA9D68"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Tampu, D</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2015</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'Human motivation and corporate governance’</w:t>
      </w:r>
      <w:r w:rsidR="00340C06"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Copernican Journal of Finance &amp; Accounting</w:t>
      </w:r>
      <w:r w:rsidR="00340C06"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4</w:t>
      </w:r>
      <w:r w:rsidR="00340C06"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2</w:t>
      </w:r>
      <w:r w:rsidR="00340C06" w:rsidRPr="00126B2F">
        <w:rPr>
          <w:rFonts w:asciiTheme="minorHAnsi" w:hAnsiTheme="minorHAnsi" w:cs="Times New Roman"/>
          <w:sz w:val="24"/>
          <w:szCs w:val="24"/>
          <w:lang w:val="en-GB"/>
        </w:rPr>
        <w:t xml:space="preserve">), </w:t>
      </w:r>
      <w:r w:rsidRPr="00126B2F">
        <w:rPr>
          <w:rFonts w:asciiTheme="minorHAnsi" w:hAnsiTheme="minorHAnsi" w:cs="Times New Roman"/>
          <w:sz w:val="24"/>
          <w:szCs w:val="24"/>
          <w:lang w:val="en-GB"/>
        </w:rPr>
        <w:t xml:space="preserve"> 177-93.</w:t>
      </w:r>
    </w:p>
    <w:p w14:paraId="19F69442" w14:textId="3EBBE282" w:rsidR="00932283" w:rsidRPr="00126B2F" w:rsidRDefault="00932283" w:rsidP="00F7771F">
      <w:pPr>
        <w:pStyle w:val="volume-issue"/>
        <w:shd w:val="clear" w:color="auto" w:fill="FFFFFF"/>
        <w:spacing w:before="75" w:after="75" w:line="360" w:lineRule="auto"/>
        <w:rPr>
          <w:rFonts w:asciiTheme="minorHAnsi" w:hAnsiTheme="minorHAnsi"/>
          <w:lang w:val="en-GB"/>
        </w:rPr>
      </w:pPr>
      <w:r w:rsidRPr="00126B2F">
        <w:rPr>
          <w:rFonts w:asciiTheme="minorHAnsi" w:hAnsiTheme="minorHAnsi"/>
          <w:lang w:val="en-GB"/>
        </w:rPr>
        <w:t>Trakman</w:t>
      </w:r>
      <w:r w:rsidR="00340C06" w:rsidRPr="00126B2F">
        <w:rPr>
          <w:rFonts w:asciiTheme="minorHAnsi" w:hAnsiTheme="minorHAnsi"/>
          <w:lang w:val="en-GB"/>
        </w:rPr>
        <w:t>,</w:t>
      </w:r>
      <w:r w:rsidRPr="00126B2F">
        <w:rPr>
          <w:rFonts w:asciiTheme="minorHAnsi" w:hAnsiTheme="minorHAnsi"/>
          <w:lang w:val="en-GB"/>
        </w:rPr>
        <w:t xml:space="preserve"> L</w:t>
      </w:r>
      <w:r w:rsidR="00340C06" w:rsidRPr="00126B2F">
        <w:rPr>
          <w:rFonts w:asciiTheme="minorHAnsi" w:hAnsiTheme="minorHAnsi"/>
          <w:lang w:val="en-GB"/>
        </w:rPr>
        <w:t>,</w:t>
      </w:r>
      <w:r w:rsidRPr="00126B2F">
        <w:rPr>
          <w:rFonts w:asciiTheme="minorHAnsi" w:hAnsiTheme="minorHAnsi"/>
          <w:lang w:val="en-GB"/>
        </w:rPr>
        <w:t xml:space="preserve"> </w:t>
      </w:r>
      <w:r w:rsidR="00340C06" w:rsidRPr="00126B2F">
        <w:rPr>
          <w:rFonts w:asciiTheme="minorHAnsi" w:hAnsiTheme="minorHAnsi"/>
          <w:lang w:val="en-GB"/>
        </w:rPr>
        <w:t>(</w:t>
      </w:r>
      <w:r w:rsidRPr="00126B2F">
        <w:rPr>
          <w:rFonts w:asciiTheme="minorHAnsi" w:hAnsiTheme="minorHAnsi"/>
          <w:lang w:val="en-GB"/>
        </w:rPr>
        <w:t>2008</w:t>
      </w:r>
      <w:r w:rsidR="00340C06" w:rsidRPr="00126B2F">
        <w:rPr>
          <w:rFonts w:asciiTheme="minorHAnsi" w:hAnsiTheme="minorHAnsi"/>
          <w:lang w:val="en-GB"/>
        </w:rPr>
        <w:t>).</w:t>
      </w:r>
      <w:r w:rsidRPr="00126B2F">
        <w:rPr>
          <w:rFonts w:asciiTheme="minorHAnsi" w:hAnsiTheme="minorHAnsi"/>
          <w:lang w:val="en-GB"/>
        </w:rPr>
        <w:t xml:space="preserve"> </w:t>
      </w:r>
      <w:r w:rsidR="00340C06" w:rsidRPr="00126B2F">
        <w:rPr>
          <w:rFonts w:asciiTheme="minorHAnsi" w:hAnsiTheme="minorHAnsi"/>
          <w:lang w:val="en-GB"/>
        </w:rPr>
        <w:t>‘</w:t>
      </w:r>
      <w:r w:rsidRPr="00126B2F">
        <w:rPr>
          <w:rFonts w:asciiTheme="minorHAnsi" w:hAnsiTheme="minorHAnsi"/>
          <w:lang w:val="en-GB"/>
        </w:rPr>
        <w:t>Modelling University Governance</w:t>
      </w:r>
      <w:r w:rsidR="00340C06" w:rsidRPr="00126B2F">
        <w:rPr>
          <w:rFonts w:asciiTheme="minorHAnsi" w:hAnsiTheme="minorHAnsi"/>
          <w:lang w:val="en-GB"/>
        </w:rPr>
        <w:t>’.</w:t>
      </w:r>
      <w:r w:rsidRPr="00126B2F">
        <w:rPr>
          <w:rFonts w:asciiTheme="minorHAnsi" w:hAnsiTheme="minorHAnsi"/>
          <w:lang w:val="en-GB"/>
        </w:rPr>
        <w:t xml:space="preserve"> </w:t>
      </w:r>
      <w:r w:rsidRPr="00126B2F">
        <w:rPr>
          <w:rFonts w:asciiTheme="minorHAnsi" w:hAnsiTheme="minorHAnsi"/>
          <w:i/>
          <w:lang w:val="en-GB"/>
        </w:rPr>
        <w:t xml:space="preserve">Higher Education </w:t>
      </w:r>
      <w:r w:rsidR="00340C06" w:rsidRPr="00126B2F">
        <w:rPr>
          <w:rFonts w:asciiTheme="minorHAnsi" w:hAnsiTheme="minorHAnsi"/>
          <w:i/>
          <w:lang w:val="en-GB"/>
        </w:rPr>
        <w:t>q</w:t>
      </w:r>
      <w:r w:rsidRPr="00126B2F">
        <w:rPr>
          <w:rFonts w:asciiTheme="minorHAnsi" w:hAnsiTheme="minorHAnsi"/>
          <w:i/>
          <w:lang w:val="en-GB"/>
        </w:rPr>
        <w:t>uarterly</w:t>
      </w:r>
      <w:r w:rsidR="00340C06" w:rsidRPr="00126B2F">
        <w:rPr>
          <w:rFonts w:asciiTheme="minorHAnsi" w:hAnsiTheme="minorHAnsi"/>
          <w:lang w:val="en-GB"/>
        </w:rPr>
        <w:t xml:space="preserve">, 62(1-2), </w:t>
      </w:r>
      <w:r w:rsidRPr="00126B2F">
        <w:rPr>
          <w:rFonts w:asciiTheme="minorHAnsi" w:hAnsiTheme="minorHAnsi"/>
          <w:lang w:val="en-GB"/>
        </w:rPr>
        <w:t>63-83</w:t>
      </w:r>
      <w:r w:rsidR="00340C06" w:rsidRPr="00126B2F">
        <w:rPr>
          <w:rFonts w:asciiTheme="minorHAnsi" w:hAnsiTheme="minorHAnsi"/>
          <w:lang w:val="en-GB"/>
        </w:rPr>
        <w:t>.</w:t>
      </w:r>
    </w:p>
    <w:p w14:paraId="23A25828" w14:textId="7589D707"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lastRenderedPageBreak/>
        <w:t>Weale, S</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2018</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'Majority of university leaders involved in setting their own pay'</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iCs/>
          <w:sz w:val="24"/>
          <w:szCs w:val="24"/>
          <w:lang w:val="en-GB"/>
        </w:rPr>
        <w:t>The Guardian</w:t>
      </w:r>
      <w:r w:rsidRPr="00126B2F">
        <w:rPr>
          <w:rFonts w:asciiTheme="minorHAnsi" w:hAnsiTheme="minorHAnsi" w:cs="Times New Roman"/>
          <w:sz w:val="24"/>
          <w:szCs w:val="24"/>
          <w:lang w:val="en-GB"/>
        </w:rPr>
        <w:t>, 16 February 2018.</w:t>
      </w:r>
      <w:r w:rsidR="00340C06" w:rsidRPr="00126B2F">
        <w:rPr>
          <w:rFonts w:asciiTheme="minorHAnsi" w:hAnsiTheme="minorHAnsi" w:cs="Times New Roman"/>
          <w:sz w:val="24"/>
          <w:szCs w:val="24"/>
          <w:lang w:val="en-GB"/>
        </w:rPr>
        <w:t xml:space="preserve"> https://www.theguardian.com/education/2018/feb/15/majority-of-university-leaders-involved-in-setting-their-own-pay. Accessed 10 January 2019.</w:t>
      </w:r>
    </w:p>
    <w:p w14:paraId="261CC881" w14:textId="77777777" w:rsidR="00932283" w:rsidRPr="00126B2F" w:rsidRDefault="00932283" w:rsidP="00F7771F">
      <w:pPr>
        <w:pStyle w:val="EndNoteBibliography"/>
        <w:spacing w:after="0" w:line="360" w:lineRule="auto"/>
        <w:rPr>
          <w:rFonts w:asciiTheme="minorHAnsi" w:hAnsiTheme="minorHAnsi" w:cs="Times New Roman"/>
          <w:sz w:val="24"/>
          <w:szCs w:val="24"/>
          <w:lang w:val="en-GB"/>
        </w:rPr>
      </w:pPr>
    </w:p>
    <w:p w14:paraId="3944CBC3" w14:textId="43D9F58B" w:rsidR="00932283" w:rsidRPr="00126B2F" w:rsidRDefault="00932283" w:rsidP="00F7771F">
      <w:pPr>
        <w:pStyle w:val="EndNoteBibliography"/>
        <w:spacing w:after="0" w:line="360" w:lineRule="auto"/>
        <w:rPr>
          <w:rFonts w:asciiTheme="minorHAnsi" w:hAnsiTheme="minorHAnsi" w:cs="Times New Roman"/>
          <w:sz w:val="24"/>
          <w:szCs w:val="24"/>
          <w:lang w:val="en-GB"/>
        </w:rPr>
      </w:pPr>
      <w:r w:rsidRPr="00126B2F">
        <w:rPr>
          <w:rFonts w:asciiTheme="minorHAnsi" w:hAnsiTheme="minorHAnsi" w:cs="Times New Roman"/>
          <w:sz w:val="24"/>
          <w:szCs w:val="24"/>
          <w:lang w:val="en-GB"/>
        </w:rPr>
        <w:t>Wells, J</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&amp; Martin, L</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2013</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'Regulation'</w:t>
      </w:r>
      <w:r w:rsidR="00340C06" w:rsidRPr="00126B2F">
        <w:rPr>
          <w:rFonts w:asciiTheme="minorHAnsi" w:hAnsiTheme="minorHAnsi" w:cs="Times New Roman"/>
          <w:sz w:val="24"/>
          <w:szCs w:val="24"/>
          <w:lang w:val="en-GB"/>
        </w:rPr>
        <w:t>. I</w:t>
      </w:r>
      <w:r w:rsidRPr="00126B2F">
        <w:rPr>
          <w:rFonts w:asciiTheme="minorHAnsi" w:hAnsiTheme="minorHAnsi" w:cs="Times New Roman"/>
          <w:sz w:val="24"/>
          <w:szCs w:val="24"/>
          <w:lang w:val="en-GB"/>
        </w:rPr>
        <w:t>n G</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Croucher, S</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Marginson, A</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Norton &amp; J</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Wells (</w:t>
      </w:r>
      <w:r w:rsidR="00340C06" w:rsidRPr="00126B2F">
        <w:rPr>
          <w:rFonts w:asciiTheme="minorHAnsi" w:hAnsiTheme="minorHAnsi" w:cs="Times New Roman"/>
          <w:sz w:val="24"/>
          <w:szCs w:val="24"/>
          <w:lang w:val="en-GB"/>
        </w:rPr>
        <w:t>E</w:t>
      </w:r>
      <w:r w:rsidRPr="00126B2F">
        <w:rPr>
          <w:rFonts w:asciiTheme="minorHAnsi" w:hAnsiTheme="minorHAnsi" w:cs="Times New Roman"/>
          <w:sz w:val="24"/>
          <w:szCs w:val="24"/>
          <w:lang w:val="en-GB"/>
        </w:rPr>
        <w:t>ds</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Pr="00126B2F">
        <w:rPr>
          <w:rFonts w:asciiTheme="minorHAnsi" w:hAnsiTheme="minorHAnsi" w:cs="Times New Roman"/>
          <w:i/>
          <w:sz w:val="24"/>
          <w:szCs w:val="24"/>
          <w:lang w:val="en-GB"/>
        </w:rPr>
        <w:t>The Dawkins Revolution: 25 years on</w:t>
      </w:r>
      <w:r w:rsidR="00340C06" w:rsidRPr="00126B2F">
        <w:rPr>
          <w:rFonts w:asciiTheme="minorHAnsi" w:hAnsiTheme="minorHAnsi" w:cs="Times New Roman"/>
          <w:sz w:val="24"/>
          <w:szCs w:val="24"/>
          <w:lang w:val="en-GB"/>
        </w:rPr>
        <w:t>.</w:t>
      </w:r>
      <w:r w:rsidRPr="00126B2F">
        <w:rPr>
          <w:rFonts w:asciiTheme="minorHAnsi" w:hAnsiTheme="minorHAnsi" w:cs="Times New Roman"/>
          <w:sz w:val="24"/>
          <w:szCs w:val="24"/>
          <w:lang w:val="en-GB"/>
        </w:rPr>
        <w:t xml:space="preserve"> </w:t>
      </w:r>
      <w:r w:rsidR="00340C06" w:rsidRPr="00126B2F">
        <w:rPr>
          <w:rFonts w:asciiTheme="minorHAnsi" w:hAnsiTheme="minorHAnsi" w:cs="Times New Roman"/>
          <w:sz w:val="24"/>
          <w:szCs w:val="24"/>
          <w:lang w:val="en-GB"/>
        </w:rPr>
        <w:t xml:space="preserve">Melbourne: </w:t>
      </w:r>
      <w:r w:rsidRPr="00126B2F">
        <w:rPr>
          <w:rFonts w:asciiTheme="minorHAnsi" w:hAnsiTheme="minorHAnsi" w:cs="Times New Roman"/>
          <w:sz w:val="24"/>
          <w:szCs w:val="24"/>
          <w:lang w:val="en-GB"/>
        </w:rPr>
        <w:t>Melbourne University Press, Melbourne.</w:t>
      </w:r>
    </w:p>
    <w:p w14:paraId="692662E1" w14:textId="77777777" w:rsidR="00565432" w:rsidRPr="00126B2F" w:rsidRDefault="00565432" w:rsidP="00F7771F">
      <w:pPr>
        <w:pStyle w:val="EndNoteBibliography"/>
        <w:spacing w:line="360" w:lineRule="auto"/>
        <w:rPr>
          <w:rFonts w:asciiTheme="minorHAnsi" w:hAnsiTheme="minorHAnsi" w:cs="Times New Roman"/>
          <w:color w:val="FF0000"/>
          <w:sz w:val="24"/>
          <w:szCs w:val="24"/>
          <w:lang w:val="en-GB"/>
        </w:rPr>
      </w:pPr>
    </w:p>
    <w:sectPr w:rsidR="00565432" w:rsidRPr="00126B2F" w:rsidSect="0056529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4BB0" w14:textId="77777777" w:rsidR="00467440" w:rsidRDefault="00467440" w:rsidP="00D22205">
      <w:pPr>
        <w:spacing w:after="0" w:line="240" w:lineRule="auto"/>
      </w:pPr>
      <w:r>
        <w:separator/>
      </w:r>
    </w:p>
  </w:endnote>
  <w:endnote w:type="continuationSeparator" w:id="0">
    <w:p w14:paraId="127F53E0" w14:textId="77777777" w:rsidR="00467440" w:rsidRDefault="00467440" w:rsidP="00D2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884027"/>
      <w:docPartObj>
        <w:docPartGallery w:val="Page Numbers (Bottom of Page)"/>
        <w:docPartUnique/>
      </w:docPartObj>
    </w:sdtPr>
    <w:sdtEndPr>
      <w:rPr>
        <w:noProof/>
      </w:rPr>
    </w:sdtEndPr>
    <w:sdtContent>
      <w:p w14:paraId="3F7EF735" w14:textId="0E73A7D2" w:rsidR="00467440" w:rsidRDefault="00467440">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5FA5F03" w14:textId="77777777" w:rsidR="00467440" w:rsidRDefault="0046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32E6C" w14:textId="77777777" w:rsidR="00467440" w:rsidRDefault="00467440" w:rsidP="00D22205">
      <w:pPr>
        <w:spacing w:after="0" w:line="240" w:lineRule="auto"/>
      </w:pPr>
      <w:r>
        <w:separator/>
      </w:r>
    </w:p>
  </w:footnote>
  <w:footnote w:type="continuationSeparator" w:id="0">
    <w:p w14:paraId="4BF2E414" w14:textId="77777777" w:rsidR="00467440" w:rsidRDefault="00467440" w:rsidP="00D22205">
      <w:pPr>
        <w:spacing w:after="0" w:line="240" w:lineRule="auto"/>
      </w:pPr>
      <w:r>
        <w:continuationSeparator/>
      </w:r>
    </w:p>
  </w:footnote>
  <w:footnote w:id="1">
    <w:p w14:paraId="03D75F8A" w14:textId="49CCCFF7" w:rsidR="00467440" w:rsidRPr="00027245" w:rsidRDefault="00467440" w:rsidP="0056529B">
      <w:pPr>
        <w:pStyle w:val="FootnoteText"/>
        <w:rPr>
          <w:rFonts w:ascii="Times New Roman" w:hAnsi="Times New Roman" w:cs="Times New Roman"/>
          <w:lang w:val="en-US"/>
        </w:rPr>
      </w:pPr>
      <w:r w:rsidRPr="000905F8">
        <w:rPr>
          <w:rStyle w:val="FootnoteReference"/>
          <w:rFonts w:ascii="Times New Roman" w:hAnsi="Times New Roman" w:cs="Times New Roman"/>
        </w:rPr>
        <w:footnoteRef/>
      </w:r>
      <w:r>
        <w:rPr>
          <w:rFonts w:ascii="Times New Roman" w:hAnsi="Times New Roman" w:cs="Times New Roman"/>
        </w:rPr>
        <w:t xml:space="preserve"> </w:t>
      </w:r>
      <w:r w:rsidRPr="00D22361">
        <w:rPr>
          <w:rFonts w:cstheme="minorHAnsi"/>
        </w:rPr>
        <w:t>By vice</w:t>
      </w:r>
      <w:r>
        <w:rPr>
          <w:rFonts w:cstheme="minorHAnsi"/>
        </w:rPr>
        <w:t>-</w:t>
      </w:r>
      <w:r w:rsidRPr="00D22361">
        <w:rPr>
          <w:rFonts w:cstheme="minorHAnsi"/>
        </w:rPr>
        <w:t xml:space="preserve">chancellor we mean the chief executive officer of universities. These posts are also </w:t>
      </w:r>
      <w:r>
        <w:rPr>
          <w:rFonts w:cstheme="minorHAnsi"/>
        </w:rPr>
        <w:t>variously</w:t>
      </w:r>
      <w:r w:rsidRPr="00D22361">
        <w:rPr>
          <w:rFonts w:cstheme="minorHAnsi"/>
        </w:rPr>
        <w:t xml:space="preserve"> named ’president’, ’principal’ or ’rector’.</w:t>
      </w:r>
    </w:p>
  </w:footnote>
  <w:footnote w:id="2">
    <w:p w14:paraId="17862FC8" w14:textId="79C91282" w:rsidR="00467440" w:rsidRPr="00027245" w:rsidRDefault="00467440">
      <w:pPr>
        <w:pStyle w:val="FootnoteText"/>
        <w:rPr>
          <w:lang w:val="en-US"/>
        </w:rPr>
      </w:pPr>
      <w:r>
        <w:rPr>
          <w:rStyle w:val="FootnoteReference"/>
        </w:rPr>
        <w:footnoteRef/>
      </w:r>
      <w:r>
        <w:t xml:space="preserve"> </w:t>
      </w:r>
      <w:r>
        <w:rPr>
          <w:rFonts w:ascii="Times New Roman" w:hAnsi="Times New Roman" w:cs="Times New Roman"/>
        </w:rPr>
        <w:t xml:space="preserve">It is not relevant to name these universities. </w:t>
      </w:r>
    </w:p>
  </w:footnote>
  <w:footnote w:id="3">
    <w:p w14:paraId="674DB330" w14:textId="67ABD1C3" w:rsidR="00467440" w:rsidRPr="00126B2F" w:rsidRDefault="00467440">
      <w:pPr>
        <w:pStyle w:val="FootnoteText"/>
        <w:rPr>
          <w:lang w:val="en-AU"/>
        </w:rPr>
      </w:pPr>
      <w:r>
        <w:rPr>
          <w:rStyle w:val="FootnoteReference"/>
        </w:rPr>
        <w:footnoteRef/>
      </w:r>
      <w:r>
        <w:t xml:space="preserve"> </w:t>
      </w:r>
      <w:r>
        <w:rPr>
          <w:lang w:val="en-AU"/>
        </w:rPr>
        <w:t>Approximately half of the chancellors of Australian university councils are remunerated (as are some council members) but in general the levels of remuneration are modest and do not compare with the fees paid to company directors. There is no evidence of a system of performance-based bonuses. UK university council members are currently volunteers and are not remunerated.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6FA0"/>
    <w:multiLevelType w:val="hybridMultilevel"/>
    <w:tmpl w:val="2A02E784"/>
    <w:lvl w:ilvl="0" w:tplc="4D981776">
      <w:start w:val="1"/>
      <w:numFmt w:val="bullet"/>
      <w:lvlText w:val="•"/>
      <w:lvlJc w:val="left"/>
      <w:pPr>
        <w:tabs>
          <w:tab w:val="num" w:pos="720"/>
        </w:tabs>
        <w:ind w:left="720" w:hanging="360"/>
      </w:pPr>
      <w:rPr>
        <w:rFonts w:ascii="Arial" w:hAnsi="Arial" w:hint="default"/>
      </w:rPr>
    </w:lvl>
    <w:lvl w:ilvl="1" w:tplc="4C2EE9E6" w:tentative="1">
      <w:start w:val="1"/>
      <w:numFmt w:val="bullet"/>
      <w:lvlText w:val="•"/>
      <w:lvlJc w:val="left"/>
      <w:pPr>
        <w:tabs>
          <w:tab w:val="num" w:pos="1440"/>
        </w:tabs>
        <w:ind w:left="1440" w:hanging="360"/>
      </w:pPr>
      <w:rPr>
        <w:rFonts w:ascii="Arial" w:hAnsi="Arial" w:hint="default"/>
      </w:rPr>
    </w:lvl>
    <w:lvl w:ilvl="2" w:tplc="BAD4C594" w:tentative="1">
      <w:start w:val="1"/>
      <w:numFmt w:val="bullet"/>
      <w:lvlText w:val="•"/>
      <w:lvlJc w:val="left"/>
      <w:pPr>
        <w:tabs>
          <w:tab w:val="num" w:pos="2160"/>
        </w:tabs>
        <w:ind w:left="2160" w:hanging="360"/>
      </w:pPr>
      <w:rPr>
        <w:rFonts w:ascii="Arial" w:hAnsi="Arial" w:hint="default"/>
      </w:rPr>
    </w:lvl>
    <w:lvl w:ilvl="3" w:tplc="584CE6B4" w:tentative="1">
      <w:start w:val="1"/>
      <w:numFmt w:val="bullet"/>
      <w:lvlText w:val="•"/>
      <w:lvlJc w:val="left"/>
      <w:pPr>
        <w:tabs>
          <w:tab w:val="num" w:pos="2880"/>
        </w:tabs>
        <w:ind w:left="2880" w:hanging="360"/>
      </w:pPr>
      <w:rPr>
        <w:rFonts w:ascii="Arial" w:hAnsi="Arial" w:hint="default"/>
      </w:rPr>
    </w:lvl>
    <w:lvl w:ilvl="4" w:tplc="109CAB0C" w:tentative="1">
      <w:start w:val="1"/>
      <w:numFmt w:val="bullet"/>
      <w:lvlText w:val="•"/>
      <w:lvlJc w:val="left"/>
      <w:pPr>
        <w:tabs>
          <w:tab w:val="num" w:pos="3600"/>
        </w:tabs>
        <w:ind w:left="3600" w:hanging="360"/>
      </w:pPr>
      <w:rPr>
        <w:rFonts w:ascii="Arial" w:hAnsi="Arial" w:hint="default"/>
      </w:rPr>
    </w:lvl>
    <w:lvl w:ilvl="5" w:tplc="74E87F3E" w:tentative="1">
      <w:start w:val="1"/>
      <w:numFmt w:val="bullet"/>
      <w:lvlText w:val="•"/>
      <w:lvlJc w:val="left"/>
      <w:pPr>
        <w:tabs>
          <w:tab w:val="num" w:pos="4320"/>
        </w:tabs>
        <w:ind w:left="4320" w:hanging="360"/>
      </w:pPr>
      <w:rPr>
        <w:rFonts w:ascii="Arial" w:hAnsi="Arial" w:hint="default"/>
      </w:rPr>
    </w:lvl>
    <w:lvl w:ilvl="6" w:tplc="D98C669C" w:tentative="1">
      <w:start w:val="1"/>
      <w:numFmt w:val="bullet"/>
      <w:lvlText w:val="•"/>
      <w:lvlJc w:val="left"/>
      <w:pPr>
        <w:tabs>
          <w:tab w:val="num" w:pos="5040"/>
        </w:tabs>
        <w:ind w:left="5040" w:hanging="360"/>
      </w:pPr>
      <w:rPr>
        <w:rFonts w:ascii="Arial" w:hAnsi="Arial" w:hint="default"/>
      </w:rPr>
    </w:lvl>
    <w:lvl w:ilvl="7" w:tplc="F106FE68" w:tentative="1">
      <w:start w:val="1"/>
      <w:numFmt w:val="bullet"/>
      <w:lvlText w:val="•"/>
      <w:lvlJc w:val="left"/>
      <w:pPr>
        <w:tabs>
          <w:tab w:val="num" w:pos="5760"/>
        </w:tabs>
        <w:ind w:left="5760" w:hanging="360"/>
      </w:pPr>
      <w:rPr>
        <w:rFonts w:ascii="Arial" w:hAnsi="Arial" w:hint="default"/>
      </w:rPr>
    </w:lvl>
    <w:lvl w:ilvl="8" w:tplc="AA0C2D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EC75D76"/>
    <w:multiLevelType w:val="multilevel"/>
    <w:tmpl w:val="97D6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22205"/>
    <w:rsid w:val="00003003"/>
    <w:rsid w:val="0000583A"/>
    <w:rsid w:val="00005BA7"/>
    <w:rsid w:val="00006271"/>
    <w:rsid w:val="0001360C"/>
    <w:rsid w:val="00021EB6"/>
    <w:rsid w:val="00027245"/>
    <w:rsid w:val="00027F9E"/>
    <w:rsid w:val="000349F5"/>
    <w:rsid w:val="00036C86"/>
    <w:rsid w:val="00044C81"/>
    <w:rsid w:val="000528CA"/>
    <w:rsid w:val="00054458"/>
    <w:rsid w:val="00061169"/>
    <w:rsid w:val="000674DA"/>
    <w:rsid w:val="00075ABA"/>
    <w:rsid w:val="00081FD3"/>
    <w:rsid w:val="000905F8"/>
    <w:rsid w:val="00092894"/>
    <w:rsid w:val="00093302"/>
    <w:rsid w:val="00094FA9"/>
    <w:rsid w:val="00097BB1"/>
    <w:rsid w:val="000A7DA1"/>
    <w:rsid w:val="000B0852"/>
    <w:rsid w:val="000B147D"/>
    <w:rsid w:val="000B6A81"/>
    <w:rsid w:val="000C0427"/>
    <w:rsid w:val="000C06F7"/>
    <w:rsid w:val="000C3883"/>
    <w:rsid w:val="000C4BF8"/>
    <w:rsid w:val="000D0F1F"/>
    <w:rsid w:val="000D16C9"/>
    <w:rsid w:val="000E0393"/>
    <w:rsid w:val="000E19A1"/>
    <w:rsid w:val="000E6301"/>
    <w:rsid w:val="00104094"/>
    <w:rsid w:val="00105168"/>
    <w:rsid w:val="0010517E"/>
    <w:rsid w:val="00107A1B"/>
    <w:rsid w:val="00111865"/>
    <w:rsid w:val="00114B83"/>
    <w:rsid w:val="00115194"/>
    <w:rsid w:val="00116091"/>
    <w:rsid w:val="001168B7"/>
    <w:rsid w:val="00117B7C"/>
    <w:rsid w:val="00120C7E"/>
    <w:rsid w:val="0012192D"/>
    <w:rsid w:val="00122592"/>
    <w:rsid w:val="00125981"/>
    <w:rsid w:val="00126B2F"/>
    <w:rsid w:val="00127AC7"/>
    <w:rsid w:val="0013194F"/>
    <w:rsid w:val="00134A66"/>
    <w:rsid w:val="00135802"/>
    <w:rsid w:val="00135E14"/>
    <w:rsid w:val="00137D9E"/>
    <w:rsid w:val="00142123"/>
    <w:rsid w:val="00142605"/>
    <w:rsid w:val="001566C5"/>
    <w:rsid w:val="001600CE"/>
    <w:rsid w:val="00162B88"/>
    <w:rsid w:val="00162F2E"/>
    <w:rsid w:val="001704EA"/>
    <w:rsid w:val="0017132A"/>
    <w:rsid w:val="001723CB"/>
    <w:rsid w:val="0017494F"/>
    <w:rsid w:val="00175806"/>
    <w:rsid w:val="00175882"/>
    <w:rsid w:val="00175C9D"/>
    <w:rsid w:val="00182E33"/>
    <w:rsid w:val="00184BB3"/>
    <w:rsid w:val="0018676B"/>
    <w:rsid w:val="001967B0"/>
    <w:rsid w:val="0019699C"/>
    <w:rsid w:val="001A2A45"/>
    <w:rsid w:val="001A7427"/>
    <w:rsid w:val="001B3541"/>
    <w:rsid w:val="001B7B0C"/>
    <w:rsid w:val="001C143B"/>
    <w:rsid w:val="001D2892"/>
    <w:rsid w:val="001D38C8"/>
    <w:rsid w:val="001E2CE2"/>
    <w:rsid w:val="001E5E3F"/>
    <w:rsid w:val="001F1859"/>
    <w:rsid w:val="001F282E"/>
    <w:rsid w:val="001F3383"/>
    <w:rsid w:val="001F5B33"/>
    <w:rsid w:val="001F68FF"/>
    <w:rsid w:val="00200BD4"/>
    <w:rsid w:val="00201981"/>
    <w:rsid w:val="00202C8E"/>
    <w:rsid w:val="00207471"/>
    <w:rsid w:val="002077A3"/>
    <w:rsid w:val="00207FAD"/>
    <w:rsid w:val="00210B2D"/>
    <w:rsid w:val="00210FD9"/>
    <w:rsid w:val="0021175F"/>
    <w:rsid w:val="00221A62"/>
    <w:rsid w:val="00223BB3"/>
    <w:rsid w:val="00225300"/>
    <w:rsid w:val="00225F1D"/>
    <w:rsid w:val="00226536"/>
    <w:rsid w:val="002274FF"/>
    <w:rsid w:val="00232CF7"/>
    <w:rsid w:val="00233F5E"/>
    <w:rsid w:val="00240789"/>
    <w:rsid w:val="00241830"/>
    <w:rsid w:val="00245405"/>
    <w:rsid w:val="0025159F"/>
    <w:rsid w:val="00255273"/>
    <w:rsid w:val="002624E9"/>
    <w:rsid w:val="00263CC4"/>
    <w:rsid w:val="00267413"/>
    <w:rsid w:val="00270603"/>
    <w:rsid w:val="0028072A"/>
    <w:rsid w:val="00281BAD"/>
    <w:rsid w:val="002848FD"/>
    <w:rsid w:val="00284F32"/>
    <w:rsid w:val="00290911"/>
    <w:rsid w:val="00293B66"/>
    <w:rsid w:val="00293E55"/>
    <w:rsid w:val="00297BD3"/>
    <w:rsid w:val="002A01DE"/>
    <w:rsid w:val="002A175B"/>
    <w:rsid w:val="002A30BC"/>
    <w:rsid w:val="002A3BBF"/>
    <w:rsid w:val="002A67C2"/>
    <w:rsid w:val="002A6FD7"/>
    <w:rsid w:val="002B04FE"/>
    <w:rsid w:val="002B1013"/>
    <w:rsid w:val="002B1AF1"/>
    <w:rsid w:val="002B203C"/>
    <w:rsid w:val="002C04B2"/>
    <w:rsid w:val="002C1267"/>
    <w:rsid w:val="002C25AB"/>
    <w:rsid w:val="002C31BC"/>
    <w:rsid w:val="002D07F6"/>
    <w:rsid w:val="002D2E69"/>
    <w:rsid w:val="002D6547"/>
    <w:rsid w:val="002E11C6"/>
    <w:rsid w:val="002E57CE"/>
    <w:rsid w:val="002E6A1F"/>
    <w:rsid w:val="002E6B2B"/>
    <w:rsid w:val="002F2CF6"/>
    <w:rsid w:val="002F3051"/>
    <w:rsid w:val="002F57BE"/>
    <w:rsid w:val="003058A2"/>
    <w:rsid w:val="003067C6"/>
    <w:rsid w:val="00310377"/>
    <w:rsid w:val="00315BDB"/>
    <w:rsid w:val="00322426"/>
    <w:rsid w:val="00327728"/>
    <w:rsid w:val="00331D2E"/>
    <w:rsid w:val="003320DF"/>
    <w:rsid w:val="00340C06"/>
    <w:rsid w:val="00344BF3"/>
    <w:rsid w:val="00352757"/>
    <w:rsid w:val="0035512B"/>
    <w:rsid w:val="00356194"/>
    <w:rsid w:val="00360CC8"/>
    <w:rsid w:val="00362BAF"/>
    <w:rsid w:val="0036311D"/>
    <w:rsid w:val="003666C6"/>
    <w:rsid w:val="00370EE7"/>
    <w:rsid w:val="00371331"/>
    <w:rsid w:val="00374547"/>
    <w:rsid w:val="003815C7"/>
    <w:rsid w:val="00382488"/>
    <w:rsid w:val="0038732B"/>
    <w:rsid w:val="00390B3B"/>
    <w:rsid w:val="00390E20"/>
    <w:rsid w:val="003931DB"/>
    <w:rsid w:val="00393BC5"/>
    <w:rsid w:val="003A119A"/>
    <w:rsid w:val="003A4028"/>
    <w:rsid w:val="003A5EF1"/>
    <w:rsid w:val="003B2F3C"/>
    <w:rsid w:val="003B3400"/>
    <w:rsid w:val="003B75BC"/>
    <w:rsid w:val="003C09E0"/>
    <w:rsid w:val="003C0DE5"/>
    <w:rsid w:val="003D58E1"/>
    <w:rsid w:val="003D6420"/>
    <w:rsid w:val="003D6C84"/>
    <w:rsid w:val="003E1B80"/>
    <w:rsid w:val="003E1D6E"/>
    <w:rsid w:val="003E20E8"/>
    <w:rsid w:val="003E4776"/>
    <w:rsid w:val="003E5535"/>
    <w:rsid w:val="003E600D"/>
    <w:rsid w:val="003F2794"/>
    <w:rsid w:val="00414F00"/>
    <w:rsid w:val="00416301"/>
    <w:rsid w:val="00416F22"/>
    <w:rsid w:val="0042182E"/>
    <w:rsid w:val="00422655"/>
    <w:rsid w:val="00422B00"/>
    <w:rsid w:val="004300CE"/>
    <w:rsid w:val="00430222"/>
    <w:rsid w:val="00432B1C"/>
    <w:rsid w:val="004348D7"/>
    <w:rsid w:val="00434F56"/>
    <w:rsid w:val="00435193"/>
    <w:rsid w:val="00435D91"/>
    <w:rsid w:val="00445993"/>
    <w:rsid w:val="00454096"/>
    <w:rsid w:val="00455287"/>
    <w:rsid w:val="0045659E"/>
    <w:rsid w:val="00461580"/>
    <w:rsid w:val="0046481E"/>
    <w:rsid w:val="00464C2B"/>
    <w:rsid w:val="00467440"/>
    <w:rsid w:val="004712B0"/>
    <w:rsid w:val="00473196"/>
    <w:rsid w:val="00475033"/>
    <w:rsid w:val="00475BBD"/>
    <w:rsid w:val="00480116"/>
    <w:rsid w:val="00486B2F"/>
    <w:rsid w:val="004961FB"/>
    <w:rsid w:val="004962DF"/>
    <w:rsid w:val="00496634"/>
    <w:rsid w:val="00497811"/>
    <w:rsid w:val="004A243F"/>
    <w:rsid w:val="004A2EF4"/>
    <w:rsid w:val="004A340F"/>
    <w:rsid w:val="004B0BDD"/>
    <w:rsid w:val="004B1192"/>
    <w:rsid w:val="004B4D08"/>
    <w:rsid w:val="004B6F0D"/>
    <w:rsid w:val="004B76E7"/>
    <w:rsid w:val="004C11E5"/>
    <w:rsid w:val="004C2849"/>
    <w:rsid w:val="004C7129"/>
    <w:rsid w:val="004D20B2"/>
    <w:rsid w:val="004E125E"/>
    <w:rsid w:val="004E519F"/>
    <w:rsid w:val="004F2372"/>
    <w:rsid w:val="00514D1A"/>
    <w:rsid w:val="00526DD8"/>
    <w:rsid w:val="005308F2"/>
    <w:rsid w:val="00531200"/>
    <w:rsid w:val="0053160F"/>
    <w:rsid w:val="005345BC"/>
    <w:rsid w:val="005358CB"/>
    <w:rsid w:val="00544A94"/>
    <w:rsid w:val="0054723D"/>
    <w:rsid w:val="00547CD2"/>
    <w:rsid w:val="00556EE8"/>
    <w:rsid w:val="0056529B"/>
    <w:rsid w:val="00565432"/>
    <w:rsid w:val="00567E80"/>
    <w:rsid w:val="005702B8"/>
    <w:rsid w:val="00576E26"/>
    <w:rsid w:val="00581961"/>
    <w:rsid w:val="00581D3C"/>
    <w:rsid w:val="00585ACE"/>
    <w:rsid w:val="00587B17"/>
    <w:rsid w:val="00591783"/>
    <w:rsid w:val="00591CA2"/>
    <w:rsid w:val="00591DB8"/>
    <w:rsid w:val="005935DA"/>
    <w:rsid w:val="00593E87"/>
    <w:rsid w:val="00596768"/>
    <w:rsid w:val="005A12E1"/>
    <w:rsid w:val="005A21CE"/>
    <w:rsid w:val="005A618C"/>
    <w:rsid w:val="005B76F7"/>
    <w:rsid w:val="005C01F6"/>
    <w:rsid w:val="005C270D"/>
    <w:rsid w:val="005C381B"/>
    <w:rsid w:val="005C4E56"/>
    <w:rsid w:val="005D0BDA"/>
    <w:rsid w:val="005D7920"/>
    <w:rsid w:val="005E7AC9"/>
    <w:rsid w:val="005F21C2"/>
    <w:rsid w:val="00605236"/>
    <w:rsid w:val="006147EC"/>
    <w:rsid w:val="00616A12"/>
    <w:rsid w:val="00620672"/>
    <w:rsid w:val="00621160"/>
    <w:rsid w:val="006316C9"/>
    <w:rsid w:val="00635806"/>
    <w:rsid w:val="00635FD5"/>
    <w:rsid w:val="00640853"/>
    <w:rsid w:val="0064570F"/>
    <w:rsid w:val="006473DA"/>
    <w:rsid w:val="00655CA9"/>
    <w:rsid w:val="0066269F"/>
    <w:rsid w:val="00664860"/>
    <w:rsid w:val="006704CE"/>
    <w:rsid w:val="00670CAC"/>
    <w:rsid w:val="00670CE1"/>
    <w:rsid w:val="00671EC0"/>
    <w:rsid w:val="00673E42"/>
    <w:rsid w:val="00683AB1"/>
    <w:rsid w:val="006856C2"/>
    <w:rsid w:val="00686CF6"/>
    <w:rsid w:val="00691517"/>
    <w:rsid w:val="00692914"/>
    <w:rsid w:val="0069432F"/>
    <w:rsid w:val="00697DAB"/>
    <w:rsid w:val="006A388F"/>
    <w:rsid w:val="006A4A32"/>
    <w:rsid w:val="006A56D6"/>
    <w:rsid w:val="006B0C27"/>
    <w:rsid w:val="006B37A8"/>
    <w:rsid w:val="006B3BE7"/>
    <w:rsid w:val="006B6D7A"/>
    <w:rsid w:val="006C6B5A"/>
    <w:rsid w:val="006C794A"/>
    <w:rsid w:val="006D1B57"/>
    <w:rsid w:val="006D22AE"/>
    <w:rsid w:val="006D3B61"/>
    <w:rsid w:val="006E280C"/>
    <w:rsid w:val="006F3685"/>
    <w:rsid w:val="006F3A51"/>
    <w:rsid w:val="006F5FC5"/>
    <w:rsid w:val="00716C78"/>
    <w:rsid w:val="00716DB1"/>
    <w:rsid w:val="00724699"/>
    <w:rsid w:val="0073056F"/>
    <w:rsid w:val="00732CE8"/>
    <w:rsid w:val="00735CAC"/>
    <w:rsid w:val="00737C8E"/>
    <w:rsid w:val="00742C7F"/>
    <w:rsid w:val="00744F11"/>
    <w:rsid w:val="00746DF0"/>
    <w:rsid w:val="007473FF"/>
    <w:rsid w:val="007509E8"/>
    <w:rsid w:val="0075155B"/>
    <w:rsid w:val="007520B3"/>
    <w:rsid w:val="0076688E"/>
    <w:rsid w:val="007802F6"/>
    <w:rsid w:val="007840FD"/>
    <w:rsid w:val="007878B5"/>
    <w:rsid w:val="00793BE6"/>
    <w:rsid w:val="0079690A"/>
    <w:rsid w:val="007A27F8"/>
    <w:rsid w:val="007A2CFF"/>
    <w:rsid w:val="007A342A"/>
    <w:rsid w:val="007A39C2"/>
    <w:rsid w:val="007B0FA2"/>
    <w:rsid w:val="007B63DF"/>
    <w:rsid w:val="007B7F12"/>
    <w:rsid w:val="007C316B"/>
    <w:rsid w:val="007C3902"/>
    <w:rsid w:val="007C56D0"/>
    <w:rsid w:val="007C7D03"/>
    <w:rsid w:val="007D7D29"/>
    <w:rsid w:val="007E06C7"/>
    <w:rsid w:val="007E31F2"/>
    <w:rsid w:val="007E4711"/>
    <w:rsid w:val="007F272C"/>
    <w:rsid w:val="007F46EF"/>
    <w:rsid w:val="00801642"/>
    <w:rsid w:val="00801C4F"/>
    <w:rsid w:val="008044CB"/>
    <w:rsid w:val="00805AC7"/>
    <w:rsid w:val="00806CDB"/>
    <w:rsid w:val="00810708"/>
    <w:rsid w:val="00811CA4"/>
    <w:rsid w:val="00817288"/>
    <w:rsid w:val="008175E4"/>
    <w:rsid w:val="008215B5"/>
    <w:rsid w:val="00830647"/>
    <w:rsid w:val="008327F6"/>
    <w:rsid w:val="008336E0"/>
    <w:rsid w:val="00834049"/>
    <w:rsid w:val="00840B4A"/>
    <w:rsid w:val="00840CD0"/>
    <w:rsid w:val="00841892"/>
    <w:rsid w:val="0085299D"/>
    <w:rsid w:val="00856C63"/>
    <w:rsid w:val="00864CB2"/>
    <w:rsid w:val="008745AC"/>
    <w:rsid w:val="008773EF"/>
    <w:rsid w:val="00880A3A"/>
    <w:rsid w:val="0088395E"/>
    <w:rsid w:val="00886048"/>
    <w:rsid w:val="008864D4"/>
    <w:rsid w:val="008914D7"/>
    <w:rsid w:val="00893B01"/>
    <w:rsid w:val="008A266C"/>
    <w:rsid w:val="008A5B3C"/>
    <w:rsid w:val="008A5F6F"/>
    <w:rsid w:val="008B0C61"/>
    <w:rsid w:val="008B3D46"/>
    <w:rsid w:val="008B5CFC"/>
    <w:rsid w:val="008C13E2"/>
    <w:rsid w:val="008C461C"/>
    <w:rsid w:val="008C6A3D"/>
    <w:rsid w:val="008C72F6"/>
    <w:rsid w:val="008D688B"/>
    <w:rsid w:val="008D68AF"/>
    <w:rsid w:val="008E3429"/>
    <w:rsid w:val="008E7E20"/>
    <w:rsid w:val="00901DAA"/>
    <w:rsid w:val="00905FD8"/>
    <w:rsid w:val="00906CA8"/>
    <w:rsid w:val="00907E7B"/>
    <w:rsid w:val="00910347"/>
    <w:rsid w:val="00914C80"/>
    <w:rsid w:val="00916BEA"/>
    <w:rsid w:val="009224D9"/>
    <w:rsid w:val="00930953"/>
    <w:rsid w:val="00931BC3"/>
    <w:rsid w:val="00932283"/>
    <w:rsid w:val="00937024"/>
    <w:rsid w:val="00940017"/>
    <w:rsid w:val="00942328"/>
    <w:rsid w:val="009501F5"/>
    <w:rsid w:val="00951F27"/>
    <w:rsid w:val="00955F7D"/>
    <w:rsid w:val="0096005E"/>
    <w:rsid w:val="00975A03"/>
    <w:rsid w:val="0097663D"/>
    <w:rsid w:val="00983CDD"/>
    <w:rsid w:val="009859B2"/>
    <w:rsid w:val="00986125"/>
    <w:rsid w:val="009877B1"/>
    <w:rsid w:val="00997018"/>
    <w:rsid w:val="009A0D0E"/>
    <w:rsid w:val="009A3DA7"/>
    <w:rsid w:val="009B1065"/>
    <w:rsid w:val="009B3F43"/>
    <w:rsid w:val="009B4B36"/>
    <w:rsid w:val="009B63AA"/>
    <w:rsid w:val="009C434E"/>
    <w:rsid w:val="009C4A73"/>
    <w:rsid w:val="009C6683"/>
    <w:rsid w:val="009D40A5"/>
    <w:rsid w:val="009D55A2"/>
    <w:rsid w:val="009D590A"/>
    <w:rsid w:val="009E0597"/>
    <w:rsid w:val="009E0911"/>
    <w:rsid w:val="009E1B15"/>
    <w:rsid w:val="009E51D7"/>
    <w:rsid w:val="009E626C"/>
    <w:rsid w:val="009E6C95"/>
    <w:rsid w:val="009E717D"/>
    <w:rsid w:val="009E748A"/>
    <w:rsid w:val="009F2A78"/>
    <w:rsid w:val="009F4736"/>
    <w:rsid w:val="009F519B"/>
    <w:rsid w:val="00A0160F"/>
    <w:rsid w:val="00A03B33"/>
    <w:rsid w:val="00A0564D"/>
    <w:rsid w:val="00A06D6C"/>
    <w:rsid w:val="00A10617"/>
    <w:rsid w:val="00A20461"/>
    <w:rsid w:val="00A20E45"/>
    <w:rsid w:val="00A21AEC"/>
    <w:rsid w:val="00A30BE4"/>
    <w:rsid w:val="00A37156"/>
    <w:rsid w:val="00A414B4"/>
    <w:rsid w:val="00A41A86"/>
    <w:rsid w:val="00A44A73"/>
    <w:rsid w:val="00A45B7A"/>
    <w:rsid w:val="00A47A21"/>
    <w:rsid w:val="00A5303B"/>
    <w:rsid w:val="00A537E3"/>
    <w:rsid w:val="00A623B4"/>
    <w:rsid w:val="00A675D7"/>
    <w:rsid w:val="00A72AD0"/>
    <w:rsid w:val="00A72BF0"/>
    <w:rsid w:val="00A83490"/>
    <w:rsid w:val="00A84F4E"/>
    <w:rsid w:val="00A85972"/>
    <w:rsid w:val="00A9052D"/>
    <w:rsid w:val="00A907B1"/>
    <w:rsid w:val="00A9442F"/>
    <w:rsid w:val="00A95121"/>
    <w:rsid w:val="00A95A85"/>
    <w:rsid w:val="00A962B5"/>
    <w:rsid w:val="00A967BC"/>
    <w:rsid w:val="00AA1035"/>
    <w:rsid w:val="00AA57FC"/>
    <w:rsid w:val="00AB4C43"/>
    <w:rsid w:val="00AB5A00"/>
    <w:rsid w:val="00AC066F"/>
    <w:rsid w:val="00AD045A"/>
    <w:rsid w:val="00AD048B"/>
    <w:rsid w:val="00AD380F"/>
    <w:rsid w:val="00AD3A5B"/>
    <w:rsid w:val="00AD412F"/>
    <w:rsid w:val="00AD4538"/>
    <w:rsid w:val="00AD4AAB"/>
    <w:rsid w:val="00AD678B"/>
    <w:rsid w:val="00AE1FC6"/>
    <w:rsid w:val="00AE2733"/>
    <w:rsid w:val="00AE4047"/>
    <w:rsid w:val="00AE56F1"/>
    <w:rsid w:val="00AE6D94"/>
    <w:rsid w:val="00AE6F01"/>
    <w:rsid w:val="00AF278D"/>
    <w:rsid w:val="00AF3E93"/>
    <w:rsid w:val="00AF4F76"/>
    <w:rsid w:val="00AF52F8"/>
    <w:rsid w:val="00AF56B4"/>
    <w:rsid w:val="00AF5917"/>
    <w:rsid w:val="00AF5BBD"/>
    <w:rsid w:val="00AF71E0"/>
    <w:rsid w:val="00AF7588"/>
    <w:rsid w:val="00AF7677"/>
    <w:rsid w:val="00B012FA"/>
    <w:rsid w:val="00B101DF"/>
    <w:rsid w:val="00B1082E"/>
    <w:rsid w:val="00B1097F"/>
    <w:rsid w:val="00B10B8C"/>
    <w:rsid w:val="00B16E7C"/>
    <w:rsid w:val="00B23560"/>
    <w:rsid w:val="00B24626"/>
    <w:rsid w:val="00B32AC0"/>
    <w:rsid w:val="00B408F5"/>
    <w:rsid w:val="00B41A28"/>
    <w:rsid w:val="00B52AB0"/>
    <w:rsid w:val="00B52F63"/>
    <w:rsid w:val="00B53204"/>
    <w:rsid w:val="00B606BC"/>
    <w:rsid w:val="00B60B59"/>
    <w:rsid w:val="00B67930"/>
    <w:rsid w:val="00B73808"/>
    <w:rsid w:val="00B74B9F"/>
    <w:rsid w:val="00B7668B"/>
    <w:rsid w:val="00B802E8"/>
    <w:rsid w:val="00B81686"/>
    <w:rsid w:val="00B918ED"/>
    <w:rsid w:val="00B93F11"/>
    <w:rsid w:val="00BA12A8"/>
    <w:rsid w:val="00BB02A2"/>
    <w:rsid w:val="00BB09BF"/>
    <w:rsid w:val="00BB3C7D"/>
    <w:rsid w:val="00BB607C"/>
    <w:rsid w:val="00BE0196"/>
    <w:rsid w:val="00BE01B8"/>
    <w:rsid w:val="00BE0671"/>
    <w:rsid w:val="00BE295C"/>
    <w:rsid w:val="00BE4452"/>
    <w:rsid w:val="00BE4927"/>
    <w:rsid w:val="00BF014D"/>
    <w:rsid w:val="00BF3C16"/>
    <w:rsid w:val="00BF72F6"/>
    <w:rsid w:val="00C001EB"/>
    <w:rsid w:val="00C038FC"/>
    <w:rsid w:val="00C04454"/>
    <w:rsid w:val="00C04DAE"/>
    <w:rsid w:val="00C14A95"/>
    <w:rsid w:val="00C15CFF"/>
    <w:rsid w:val="00C1664A"/>
    <w:rsid w:val="00C175D7"/>
    <w:rsid w:val="00C20C93"/>
    <w:rsid w:val="00C2160A"/>
    <w:rsid w:val="00C225AC"/>
    <w:rsid w:val="00C22D6A"/>
    <w:rsid w:val="00C234DF"/>
    <w:rsid w:val="00C247B5"/>
    <w:rsid w:val="00C24B70"/>
    <w:rsid w:val="00C25AD0"/>
    <w:rsid w:val="00C30235"/>
    <w:rsid w:val="00C30B35"/>
    <w:rsid w:val="00C36F9A"/>
    <w:rsid w:val="00C406FF"/>
    <w:rsid w:val="00C40D47"/>
    <w:rsid w:val="00C42339"/>
    <w:rsid w:val="00C437D5"/>
    <w:rsid w:val="00C44913"/>
    <w:rsid w:val="00C54FFC"/>
    <w:rsid w:val="00C64864"/>
    <w:rsid w:val="00C6536D"/>
    <w:rsid w:val="00C65777"/>
    <w:rsid w:val="00C65787"/>
    <w:rsid w:val="00C707B9"/>
    <w:rsid w:val="00C70CE2"/>
    <w:rsid w:val="00C740AC"/>
    <w:rsid w:val="00C80417"/>
    <w:rsid w:val="00C92C4E"/>
    <w:rsid w:val="00CA4E54"/>
    <w:rsid w:val="00CA6532"/>
    <w:rsid w:val="00CB21E4"/>
    <w:rsid w:val="00CB2D4E"/>
    <w:rsid w:val="00CB361F"/>
    <w:rsid w:val="00CC38AD"/>
    <w:rsid w:val="00CC3DB1"/>
    <w:rsid w:val="00CE0B74"/>
    <w:rsid w:val="00CE7EAE"/>
    <w:rsid w:val="00CF01BD"/>
    <w:rsid w:val="00CF1062"/>
    <w:rsid w:val="00D0011C"/>
    <w:rsid w:val="00D0316F"/>
    <w:rsid w:val="00D0723A"/>
    <w:rsid w:val="00D10F28"/>
    <w:rsid w:val="00D123AA"/>
    <w:rsid w:val="00D13DE3"/>
    <w:rsid w:val="00D166F8"/>
    <w:rsid w:val="00D16AF3"/>
    <w:rsid w:val="00D16E6A"/>
    <w:rsid w:val="00D217FC"/>
    <w:rsid w:val="00D21ACE"/>
    <w:rsid w:val="00D22205"/>
    <w:rsid w:val="00D22361"/>
    <w:rsid w:val="00D236F7"/>
    <w:rsid w:val="00D24EB8"/>
    <w:rsid w:val="00D31851"/>
    <w:rsid w:val="00D320BA"/>
    <w:rsid w:val="00D32D98"/>
    <w:rsid w:val="00D34D02"/>
    <w:rsid w:val="00D34D77"/>
    <w:rsid w:val="00D36952"/>
    <w:rsid w:val="00D37FC7"/>
    <w:rsid w:val="00D40253"/>
    <w:rsid w:val="00D50306"/>
    <w:rsid w:val="00D519E3"/>
    <w:rsid w:val="00D565E6"/>
    <w:rsid w:val="00D6138C"/>
    <w:rsid w:val="00D61818"/>
    <w:rsid w:val="00D6307C"/>
    <w:rsid w:val="00D630CA"/>
    <w:rsid w:val="00D66357"/>
    <w:rsid w:val="00D71048"/>
    <w:rsid w:val="00D718BF"/>
    <w:rsid w:val="00D759C9"/>
    <w:rsid w:val="00D76322"/>
    <w:rsid w:val="00D779A3"/>
    <w:rsid w:val="00D77F48"/>
    <w:rsid w:val="00D92D50"/>
    <w:rsid w:val="00D945E4"/>
    <w:rsid w:val="00DA16DE"/>
    <w:rsid w:val="00DA7666"/>
    <w:rsid w:val="00DB059A"/>
    <w:rsid w:val="00DB1C4C"/>
    <w:rsid w:val="00DB4F95"/>
    <w:rsid w:val="00DB5941"/>
    <w:rsid w:val="00DB5FCA"/>
    <w:rsid w:val="00DB731F"/>
    <w:rsid w:val="00DC0046"/>
    <w:rsid w:val="00DC5AAA"/>
    <w:rsid w:val="00DD0631"/>
    <w:rsid w:val="00DD7B75"/>
    <w:rsid w:val="00DE6CC4"/>
    <w:rsid w:val="00DF054E"/>
    <w:rsid w:val="00DF129D"/>
    <w:rsid w:val="00DF3E7A"/>
    <w:rsid w:val="00DF67E4"/>
    <w:rsid w:val="00E06F9B"/>
    <w:rsid w:val="00E11D0D"/>
    <w:rsid w:val="00E14691"/>
    <w:rsid w:val="00E22275"/>
    <w:rsid w:val="00E23689"/>
    <w:rsid w:val="00E23F74"/>
    <w:rsid w:val="00E254F2"/>
    <w:rsid w:val="00E2587E"/>
    <w:rsid w:val="00E27FC9"/>
    <w:rsid w:val="00E308DC"/>
    <w:rsid w:val="00E41230"/>
    <w:rsid w:val="00E43269"/>
    <w:rsid w:val="00E4372C"/>
    <w:rsid w:val="00E46803"/>
    <w:rsid w:val="00E4688D"/>
    <w:rsid w:val="00E47A82"/>
    <w:rsid w:val="00E52583"/>
    <w:rsid w:val="00E52C20"/>
    <w:rsid w:val="00E53F79"/>
    <w:rsid w:val="00E55DCB"/>
    <w:rsid w:val="00E57B01"/>
    <w:rsid w:val="00E6046E"/>
    <w:rsid w:val="00E61E98"/>
    <w:rsid w:val="00E66741"/>
    <w:rsid w:val="00E66C80"/>
    <w:rsid w:val="00E76192"/>
    <w:rsid w:val="00E774F2"/>
    <w:rsid w:val="00E839E2"/>
    <w:rsid w:val="00E84B18"/>
    <w:rsid w:val="00E90607"/>
    <w:rsid w:val="00E926DE"/>
    <w:rsid w:val="00E930E4"/>
    <w:rsid w:val="00E960D7"/>
    <w:rsid w:val="00EA40A1"/>
    <w:rsid w:val="00EB45F6"/>
    <w:rsid w:val="00EB7DC9"/>
    <w:rsid w:val="00EC0F0E"/>
    <w:rsid w:val="00EC422C"/>
    <w:rsid w:val="00EC4914"/>
    <w:rsid w:val="00EC64C3"/>
    <w:rsid w:val="00EC7C77"/>
    <w:rsid w:val="00ED1FFD"/>
    <w:rsid w:val="00ED488A"/>
    <w:rsid w:val="00ED5673"/>
    <w:rsid w:val="00ED5B48"/>
    <w:rsid w:val="00ED5BD2"/>
    <w:rsid w:val="00ED6EE6"/>
    <w:rsid w:val="00ED74A3"/>
    <w:rsid w:val="00EE36EF"/>
    <w:rsid w:val="00EE47F1"/>
    <w:rsid w:val="00EE4A05"/>
    <w:rsid w:val="00EE58E7"/>
    <w:rsid w:val="00EE77CF"/>
    <w:rsid w:val="00EF0C4C"/>
    <w:rsid w:val="00F0398E"/>
    <w:rsid w:val="00F15172"/>
    <w:rsid w:val="00F23C61"/>
    <w:rsid w:val="00F24636"/>
    <w:rsid w:val="00F253BC"/>
    <w:rsid w:val="00F324C5"/>
    <w:rsid w:val="00F33B7D"/>
    <w:rsid w:val="00F34430"/>
    <w:rsid w:val="00F35F9A"/>
    <w:rsid w:val="00F5006D"/>
    <w:rsid w:val="00F6018C"/>
    <w:rsid w:val="00F6044A"/>
    <w:rsid w:val="00F62900"/>
    <w:rsid w:val="00F66D2F"/>
    <w:rsid w:val="00F76D7D"/>
    <w:rsid w:val="00F7771F"/>
    <w:rsid w:val="00F82E32"/>
    <w:rsid w:val="00F8327D"/>
    <w:rsid w:val="00F84627"/>
    <w:rsid w:val="00F93D01"/>
    <w:rsid w:val="00F93E0F"/>
    <w:rsid w:val="00F97605"/>
    <w:rsid w:val="00FA1B45"/>
    <w:rsid w:val="00FB02D5"/>
    <w:rsid w:val="00FB1E0C"/>
    <w:rsid w:val="00FB69B9"/>
    <w:rsid w:val="00FB75F8"/>
    <w:rsid w:val="00FC2E86"/>
    <w:rsid w:val="00FC371C"/>
    <w:rsid w:val="00FC4B7E"/>
    <w:rsid w:val="00FC66A8"/>
    <w:rsid w:val="00FD070E"/>
    <w:rsid w:val="00FE1823"/>
    <w:rsid w:val="00FE28D2"/>
    <w:rsid w:val="00FE46B4"/>
    <w:rsid w:val="00FE6B10"/>
    <w:rsid w:val="00FE7E18"/>
    <w:rsid w:val="00FF0443"/>
    <w:rsid w:val="00FF2A7E"/>
    <w:rsid w:val="00FF2C82"/>
    <w:rsid w:val="00FF4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50263"/>
  <w15:chartTrackingRefBased/>
  <w15:docId w15:val="{4A15D3FC-EF73-4BB3-BAEF-F2B06D7E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205"/>
    <w:rPr>
      <w:lang w:val="en-GB"/>
    </w:rPr>
  </w:style>
  <w:style w:type="paragraph" w:styleId="Heading1">
    <w:name w:val="heading 1"/>
    <w:basedOn w:val="Normal"/>
    <w:link w:val="Heading1Char"/>
    <w:uiPriority w:val="9"/>
    <w:qFormat/>
    <w:rsid w:val="00115194"/>
    <w:pPr>
      <w:spacing w:before="100" w:beforeAutospacing="1" w:after="100" w:afterAutospacing="1" w:line="240" w:lineRule="auto"/>
      <w:outlineLvl w:val="0"/>
    </w:pPr>
    <w:rPr>
      <w:rFonts w:ascii="Times New Roman" w:eastAsia="Times New Roman" w:hAnsi="Times New Roman" w:cs="Times New Roman"/>
      <w:b/>
      <w:bCs/>
      <w:kern w:val="36"/>
      <w:sz w:val="48"/>
      <w:szCs w:val="48"/>
      <w:lang w:val="fi-FI" w:eastAsia="fi-FI"/>
    </w:rPr>
  </w:style>
  <w:style w:type="paragraph" w:styleId="Heading2">
    <w:name w:val="heading 2"/>
    <w:basedOn w:val="Normal"/>
    <w:next w:val="Normal"/>
    <w:link w:val="Heading2Char"/>
    <w:uiPriority w:val="9"/>
    <w:semiHidden/>
    <w:unhideWhenUsed/>
    <w:qFormat/>
    <w:rsid w:val="007C7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2205"/>
    <w:pPr>
      <w:spacing w:after="0" w:line="240" w:lineRule="auto"/>
    </w:pPr>
    <w:rPr>
      <w:sz w:val="20"/>
      <w:szCs w:val="20"/>
    </w:rPr>
  </w:style>
  <w:style w:type="character" w:customStyle="1" w:styleId="FootnoteTextChar">
    <w:name w:val="Footnote Text Char"/>
    <w:basedOn w:val="DefaultParagraphFont"/>
    <w:link w:val="FootnoteText"/>
    <w:uiPriority w:val="99"/>
    <w:rsid w:val="00D22205"/>
    <w:rPr>
      <w:sz w:val="20"/>
      <w:szCs w:val="20"/>
      <w:lang w:val="en-GB"/>
    </w:rPr>
  </w:style>
  <w:style w:type="character" w:styleId="FootnoteReference">
    <w:name w:val="footnote reference"/>
    <w:basedOn w:val="DefaultParagraphFont"/>
    <w:uiPriority w:val="99"/>
    <w:semiHidden/>
    <w:unhideWhenUsed/>
    <w:rsid w:val="00D22205"/>
    <w:rPr>
      <w:vertAlign w:val="superscript"/>
    </w:rPr>
  </w:style>
  <w:style w:type="paragraph" w:styleId="NormalWeb">
    <w:name w:val="Normal (Web)"/>
    <w:basedOn w:val="Normal"/>
    <w:uiPriority w:val="99"/>
    <w:unhideWhenUsed/>
    <w:rsid w:val="00D22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2205"/>
    <w:rPr>
      <w:color w:val="0000FF"/>
      <w:u w:val="single"/>
    </w:rPr>
  </w:style>
  <w:style w:type="paragraph" w:customStyle="1" w:styleId="EndNoteBibliography">
    <w:name w:val="EndNote Bibliography"/>
    <w:basedOn w:val="Normal"/>
    <w:link w:val="EndNoteBibliographyChar"/>
    <w:rsid w:val="00D2220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22205"/>
    <w:rPr>
      <w:rFonts w:ascii="Calibri" w:hAnsi="Calibri"/>
      <w:noProof/>
      <w:lang w:val="en-US"/>
    </w:rPr>
  </w:style>
  <w:style w:type="paragraph" w:styleId="Header">
    <w:name w:val="header"/>
    <w:basedOn w:val="Normal"/>
    <w:link w:val="HeaderChar"/>
    <w:uiPriority w:val="99"/>
    <w:unhideWhenUsed/>
    <w:rsid w:val="00D222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D22205"/>
    <w:rPr>
      <w:lang w:val="en-GB"/>
    </w:rPr>
  </w:style>
  <w:style w:type="paragraph" w:styleId="Footer">
    <w:name w:val="footer"/>
    <w:basedOn w:val="Normal"/>
    <w:link w:val="FooterChar"/>
    <w:uiPriority w:val="99"/>
    <w:unhideWhenUsed/>
    <w:rsid w:val="00D222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D22205"/>
    <w:rPr>
      <w:lang w:val="en-GB"/>
    </w:rPr>
  </w:style>
  <w:style w:type="character" w:styleId="CommentReference">
    <w:name w:val="annotation reference"/>
    <w:basedOn w:val="DefaultParagraphFont"/>
    <w:uiPriority w:val="99"/>
    <w:semiHidden/>
    <w:unhideWhenUsed/>
    <w:rsid w:val="00D22205"/>
    <w:rPr>
      <w:sz w:val="16"/>
      <w:szCs w:val="16"/>
    </w:rPr>
  </w:style>
  <w:style w:type="paragraph" w:styleId="CommentText">
    <w:name w:val="annotation text"/>
    <w:basedOn w:val="Normal"/>
    <w:link w:val="CommentTextChar"/>
    <w:uiPriority w:val="99"/>
    <w:semiHidden/>
    <w:unhideWhenUsed/>
    <w:rsid w:val="00D22205"/>
    <w:pPr>
      <w:spacing w:line="240" w:lineRule="auto"/>
    </w:pPr>
    <w:rPr>
      <w:sz w:val="20"/>
      <w:szCs w:val="20"/>
    </w:rPr>
  </w:style>
  <w:style w:type="character" w:customStyle="1" w:styleId="CommentTextChar">
    <w:name w:val="Comment Text Char"/>
    <w:basedOn w:val="DefaultParagraphFont"/>
    <w:link w:val="CommentText"/>
    <w:uiPriority w:val="99"/>
    <w:semiHidden/>
    <w:rsid w:val="00D22205"/>
    <w:rPr>
      <w:sz w:val="20"/>
      <w:szCs w:val="20"/>
      <w:lang w:val="en-GB"/>
    </w:rPr>
  </w:style>
  <w:style w:type="paragraph" w:styleId="CommentSubject">
    <w:name w:val="annotation subject"/>
    <w:basedOn w:val="CommentText"/>
    <w:next w:val="CommentText"/>
    <w:link w:val="CommentSubjectChar"/>
    <w:uiPriority w:val="99"/>
    <w:semiHidden/>
    <w:unhideWhenUsed/>
    <w:rsid w:val="00D22205"/>
    <w:rPr>
      <w:b/>
      <w:bCs/>
    </w:rPr>
  </w:style>
  <w:style w:type="character" w:customStyle="1" w:styleId="CommentSubjectChar">
    <w:name w:val="Comment Subject Char"/>
    <w:basedOn w:val="CommentTextChar"/>
    <w:link w:val="CommentSubject"/>
    <w:uiPriority w:val="99"/>
    <w:semiHidden/>
    <w:rsid w:val="00D22205"/>
    <w:rPr>
      <w:b/>
      <w:bCs/>
      <w:sz w:val="20"/>
      <w:szCs w:val="20"/>
      <w:lang w:val="en-GB"/>
    </w:rPr>
  </w:style>
  <w:style w:type="paragraph" w:styleId="BalloonText">
    <w:name w:val="Balloon Text"/>
    <w:basedOn w:val="Normal"/>
    <w:link w:val="BalloonTextChar"/>
    <w:uiPriority w:val="99"/>
    <w:semiHidden/>
    <w:unhideWhenUsed/>
    <w:rsid w:val="00D22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205"/>
    <w:rPr>
      <w:rFonts w:ascii="Segoe UI" w:hAnsi="Segoe UI" w:cs="Segoe UI"/>
      <w:sz w:val="18"/>
      <w:szCs w:val="18"/>
      <w:lang w:val="en-GB"/>
    </w:rPr>
  </w:style>
  <w:style w:type="table" w:styleId="TableGrid">
    <w:name w:val="Table Grid"/>
    <w:basedOn w:val="TableNormal"/>
    <w:uiPriority w:val="39"/>
    <w:rsid w:val="000A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194"/>
    <w:rPr>
      <w:rFonts w:ascii="Times New Roman" w:eastAsia="Times New Roman" w:hAnsi="Times New Roman" w:cs="Times New Roman"/>
      <w:b/>
      <w:bCs/>
      <w:kern w:val="36"/>
      <w:sz w:val="48"/>
      <w:szCs w:val="48"/>
      <w:lang w:val="fi-FI" w:eastAsia="fi-FI"/>
    </w:rPr>
  </w:style>
  <w:style w:type="paragraph" w:customStyle="1" w:styleId="Default">
    <w:name w:val="Default"/>
    <w:rsid w:val="00C30B35"/>
    <w:pPr>
      <w:autoSpaceDE w:val="0"/>
      <w:autoSpaceDN w:val="0"/>
      <w:adjustRightInd w:val="0"/>
      <w:spacing w:after="0" w:line="240" w:lineRule="auto"/>
    </w:pPr>
    <w:rPr>
      <w:rFonts w:ascii="Times New Roman" w:hAnsi="Times New Roman" w:cs="Times New Roman"/>
      <w:color w:val="000000"/>
      <w:sz w:val="24"/>
      <w:szCs w:val="24"/>
      <w:lang w:val="fi-FI"/>
    </w:rPr>
  </w:style>
  <w:style w:type="character" w:customStyle="1" w:styleId="Heading2Char">
    <w:name w:val="Heading 2 Char"/>
    <w:basedOn w:val="DefaultParagraphFont"/>
    <w:link w:val="Heading2"/>
    <w:uiPriority w:val="9"/>
    <w:semiHidden/>
    <w:rsid w:val="007C7D03"/>
    <w:rPr>
      <w:rFonts w:asciiTheme="majorHAnsi" w:eastAsiaTheme="majorEastAsia" w:hAnsiTheme="majorHAnsi" w:cstheme="majorBidi"/>
      <w:color w:val="2E74B5" w:themeColor="accent1" w:themeShade="BF"/>
      <w:sz w:val="26"/>
      <w:szCs w:val="26"/>
      <w:lang w:val="en-GB"/>
    </w:rPr>
  </w:style>
  <w:style w:type="paragraph" w:customStyle="1" w:styleId="volume-issue">
    <w:name w:val="volume-issue"/>
    <w:basedOn w:val="Normal"/>
    <w:rsid w:val="007C7D03"/>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val">
    <w:name w:val="val"/>
    <w:basedOn w:val="DefaultParagraphFont"/>
    <w:rsid w:val="007C7D03"/>
  </w:style>
  <w:style w:type="paragraph" w:customStyle="1" w:styleId="page-range">
    <w:name w:val="page-range"/>
    <w:basedOn w:val="Normal"/>
    <w:rsid w:val="007C7D03"/>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sr-only">
    <w:name w:val="sr-only"/>
    <w:basedOn w:val="DefaultParagraphFont"/>
    <w:rsid w:val="00937024"/>
  </w:style>
  <w:style w:type="character" w:customStyle="1" w:styleId="orcid-id-https">
    <w:name w:val="orcid-id-https"/>
    <w:basedOn w:val="DefaultParagraphFont"/>
    <w:rsid w:val="00864CB2"/>
  </w:style>
  <w:style w:type="character" w:styleId="UnresolvedMention">
    <w:name w:val="Unresolved Mention"/>
    <w:basedOn w:val="DefaultParagraphFont"/>
    <w:uiPriority w:val="99"/>
    <w:semiHidden/>
    <w:unhideWhenUsed/>
    <w:rsid w:val="0094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0351">
      <w:bodyDiv w:val="1"/>
      <w:marLeft w:val="0"/>
      <w:marRight w:val="0"/>
      <w:marTop w:val="0"/>
      <w:marBottom w:val="0"/>
      <w:divBdr>
        <w:top w:val="none" w:sz="0" w:space="0" w:color="auto"/>
        <w:left w:val="none" w:sz="0" w:space="0" w:color="auto"/>
        <w:bottom w:val="none" w:sz="0" w:space="0" w:color="auto"/>
        <w:right w:val="none" w:sz="0" w:space="0" w:color="auto"/>
      </w:divBdr>
    </w:div>
    <w:div w:id="118035480">
      <w:bodyDiv w:val="1"/>
      <w:marLeft w:val="0"/>
      <w:marRight w:val="0"/>
      <w:marTop w:val="0"/>
      <w:marBottom w:val="0"/>
      <w:divBdr>
        <w:top w:val="none" w:sz="0" w:space="0" w:color="auto"/>
        <w:left w:val="none" w:sz="0" w:space="0" w:color="auto"/>
        <w:bottom w:val="none" w:sz="0" w:space="0" w:color="auto"/>
        <w:right w:val="none" w:sz="0" w:space="0" w:color="auto"/>
      </w:divBdr>
    </w:div>
    <w:div w:id="177432646">
      <w:bodyDiv w:val="1"/>
      <w:marLeft w:val="0"/>
      <w:marRight w:val="0"/>
      <w:marTop w:val="0"/>
      <w:marBottom w:val="0"/>
      <w:divBdr>
        <w:top w:val="none" w:sz="0" w:space="0" w:color="auto"/>
        <w:left w:val="none" w:sz="0" w:space="0" w:color="auto"/>
        <w:bottom w:val="none" w:sz="0" w:space="0" w:color="auto"/>
        <w:right w:val="none" w:sz="0" w:space="0" w:color="auto"/>
      </w:divBdr>
    </w:div>
    <w:div w:id="332345264">
      <w:bodyDiv w:val="1"/>
      <w:marLeft w:val="0"/>
      <w:marRight w:val="0"/>
      <w:marTop w:val="0"/>
      <w:marBottom w:val="0"/>
      <w:divBdr>
        <w:top w:val="none" w:sz="0" w:space="0" w:color="auto"/>
        <w:left w:val="none" w:sz="0" w:space="0" w:color="auto"/>
        <w:bottom w:val="none" w:sz="0" w:space="0" w:color="auto"/>
        <w:right w:val="none" w:sz="0" w:space="0" w:color="auto"/>
      </w:divBdr>
    </w:div>
    <w:div w:id="352608312">
      <w:bodyDiv w:val="1"/>
      <w:marLeft w:val="0"/>
      <w:marRight w:val="0"/>
      <w:marTop w:val="0"/>
      <w:marBottom w:val="0"/>
      <w:divBdr>
        <w:top w:val="none" w:sz="0" w:space="0" w:color="auto"/>
        <w:left w:val="none" w:sz="0" w:space="0" w:color="auto"/>
        <w:bottom w:val="none" w:sz="0" w:space="0" w:color="auto"/>
        <w:right w:val="none" w:sz="0" w:space="0" w:color="auto"/>
      </w:divBdr>
    </w:div>
    <w:div w:id="436868269">
      <w:bodyDiv w:val="1"/>
      <w:marLeft w:val="0"/>
      <w:marRight w:val="0"/>
      <w:marTop w:val="0"/>
      <w:marBottom w:val="0"/>
      <w:divBdr>
        <w:top w:val="none" w:sz="0" w:space="0" w:color="auto"/>
        <w:left w:val="none" w:sz="0" w:space="0" w:color="auto"/>
        <w:bottom w:val="none" w:sz="0" w:space="0" w:color="auto"/>
        <w:right w:val="none" w:sz="0" w:space="0" w:color="auto"/>
      </w:divBdr>
    </w:div>
    <w:div w:id="581335476">
      <w:bodyDiv w:val="1"/>
      <w:marLeft w:val="0"/>
      <w:marRight w:val="0"/>
      <w:marTop w:val="0"/>
      <w:marBottom w:val="0"/>
      <w:divBdr>
        <w:top w:val="none" w:sz="0" w:space="0" w:color="auto"/>
        <w:left w:val="none" w:sz="0" w:space="0" w:color="auto"/>
        <w:bottom w:val="none" w:sz="0" w:space="0" w:color="auto"/>
        <w:right w:val="none" w:sz="0" w:space="0" w:color="auto"/>
      </w:divBdr>
    </w:div>
    <w:div w:id="593976295">
      <w:bodyDiv w:val="1"/>
      <w:marLeft w:val="0"/>
      <w:marRight w:val="0"/>
      <w:marTop w:val="0"/>
      <w:marBottom w:val="0"/>
      <w:divBdr>
        <w:top w:val="none" w:sz="0" w:space="0" w:color="auto"/>
        <w:left w:val="none" w:sz="0" w:space="0" w:color="auto"/>
        <w:bottom w:val="none" w:sz="0" w:space="0" w:color="auto"/>
        <w:right w:val="none" w:sz="0" w:space="0" w:color="auto"/>
      </w:divBdr>
    </w:div>
    <w:div w:id="605843834">
      <w:bodyDiv w:val="1"/>
      <w:marLeft w:val="0"/>
      <w:marRight w:val="0"/>
      <w:marTop w:val="0"/>
      <w:marBottom w:val="0"/>
      <w:divBdr>
        <w:top w:val="none" w:sz="0" w:space="0" w:color="auto"/>
        <w:left w:val="none" w:sz="0" w:space="0" w:color="auto"/>
        <w:bottom w:val="none" w:sz="0" w:space="0" w:color="auto"/>
        <w:right w:val="none" w:sz="0" w:space="0" w:color="auto"/>
      </w:divBdr>
    </w:div>
    <w:div w:id="645664437">
      <w:bodyDiv w:val="1"/>
      <w:marLeft w:val="0"/>
      <w:marRight w:val="0"/>
      <w:marTop w:val="0"/>
      <w:marBottom w:val="0"/>
      <w:divBdr>
        <w:top w:val="none" w:sz="0" w:space="0" w:color="auto"/>
        <w:left w:val="none" w:sz="0" w:space="0" w:color="auto"/>
        <w:bottom w:val="none" w:sz="0" w:space="0" w:color="auto"/>
        <w:right w:val="none" w:sz="0" w:space="0" w:color="auto"/>
      </w:divBdr>
    </w:div>
    <w:div w:id="699430338">
      <w:bodyDiv w:val="1"/>
      <w:marLeft w:val="0"/>
      <w:marRight w:val="0"/>
      <w:marTop w:val="0"/>
      <w:marBottom w:val="0"/>
      <w:divBdr>
        <w:top w:val="none" w:sz="0" w:space="0" w:color="auto"/>
        <w:left w:val="none" w:sz="0" w:space="0" w:color="auto"/>
        <w:bottom w:val="none" w:sz="0" w:space="0" w:color="auto"/>
        <w:right w:val="none" w:sz="0" w:space="0" w:color="auto"/>
      </w:divBdr>
      <w:divsChild>
        <w:div w:id="630287706">
          <w:marLeft w:val="360"/>
          <w:marRight w:val="0"/>
          <w:marTop w:val="200"/>
          <w:marBottom w:val="0"/>
          <w:divBdr>
            <w:top w:val="none" w:sz="0" w:space="0" w:color="auto"/>
            <w:left w:val="none" w:sz="0" w:space="0" w:color="auto"/>
            <w:bottom w:val="none" w:sz="0" w:space="0" w:color="auto"/>
            <w:right w:val="none" w:sz="0" w:space="0" w:color="auto"/>
          </w:divBdr>
        </w:div>
        <w:div w:id="1534533426">
          <w:marLeft w:val="360"/>
          <w:marRight w:val="0"/>
          <w:marTop w:val="200"/>
          <w:marBottom w:val="0"/>
          <w:divBdr>
            <w:top w:val="none" w:sz="0" w:space="0" w:color="auto"/>
            <w:left w:val="none" w:sz="0" w:space="0" w:color="auto"/>
            <w:bottom w:val="none" w:sz="0" w:space="0" w:color="auto"/>
            <w:right w:val="none" w:sz="0" w:space="0" w:color="auto"/>
          </w:divBdr>
        </w:div>
        <w:div w:id="1893686696">
          <w:marLeft w:val="360"/>
          <w:marRight w:val="0"/>
          <w:marTop w:val="200"/>
          <w:marBottom w:val="0"/>
          <w:divBdr>
            <w:top w:val="none" w:sz="0" w:space="0" w:color="auto"/>
            <w:left w:val="none" w:sz="0" w:space="0" w:color="auto"/>
            <w:bottom w:val="none" w:sz="0" w:space="0" w:color="auto"/>
            <w:right w:val="none" w:sz="0" w:space="0" w:color="auto"/>
          </w:divBdr>
        </w:div>
      </w:divsChild>
    </w:div>
    <w:div w:id="850682918">
      <w:bodyDiv w:val="1"/>
      <w:marLeft w:val="0"/>
      <w:marRight w:val="0"/>
      <w:marTop w:val="0"/>
      <w:marBottom w:val="0"/>
      <w:divBdr>
        <w:top w:val="none" w:sz="0" w:space="0" w:color="auto"/>
        <w:left w:val="none" w:sz="0" w:space="0" w:color="auto"/>
        <w:bottom w:val="none" w:sz="0" w:space="0" w:color="auto"/>
        <w:right w:val="none" w:sz="0" w:space="0" w:color="auto"/>
      </w:divBdr>
    </w:div>
    <w:div w:id="930547949">
      <w:bodyDiv w:val="1"/>
      <w:marLeft w:val="0"/>
      <w:marRight w:val="0"/>
      <w:marTop w:val="0"/>
      <w:marBottom w:val="0"/>
      <w:divBdr>
        <w:top w:val="none" w:sz="0" w:space="0" w:color="auto"/>
        <w:left w:val="none" w:sz="0" w:space="0" w:color="auto"/>
        <w:bottom w:val="none" w:sz="0" w:space="0" w:color="auto"/>
        <w:right w:val="none" w:sz="0" w:space="0" w:color="auto"/>
      </w:divBdr>
    </w:div>
    <w:div w:id="1070422767">
      <w:bodyDiv w:val="1"/>
      <w:marLeft w:val="0"/>
      <w:marRight w:val="0"/>
      <w:marTop w:val="0"/>
      <w:marBottom w:val="0"/>
      <w:divBdr>
        <w:top w:val="none" w:sz="0" w:space="0" w:color="auto"/>
        <w:left w:val="none" w:sz="0" w:space="0" w:color="auto"/>
        <w:bottom w:val="none" w:sz="0" w:space="0" w:color="auto"/>
        <w:right w:val="none" w:sz="0" w:space="0" w:color="auto"/>
      </w:divBdr>
    </w:div>
    <w:div w:id="1322924827">
      <w:bodyDiv w:val="1"/>
      <w:marLeft w:val="0"/>
      <w:marRight w:val="0"/>
      <w:marTop w:val="0"/>
      <w:marBottom w:val="0"/>
      <w:divBdr>
        <w:top w:val="none" w:sz="0" w:space="0" w:color="auto"/>
        <w:left w:val="none" w:sz="0" w:space="0" w:color="auto"/>
        <w:bottom w:val="none" w:sz="0" w:space="0" w:color="auto"/>
        <w:right w:val="none" w:sz="0" w:space="0" w:color="auto"/>
      </w:divBdr>
    </w:div>
    <w:div w:id="1357925651">
      <w:bodyDiv w:val="1"/>
      <w:marLeft w:val="0"/>
      <w:marRight w:val="0"/>
      <w:marTop w:val="0"/>
      <w:marBottom w:val="0"/>
      <w:divBdr>
        <w:top w:val="none" w:sz="0" w:space="0" w:color="auto"/>
        <w:left w:val="none" w:sz="0" w:space="0" w:color="auto"/>
        <w:bottom w:val="none" w:sz="0" w:space="0" w:color="auto"/>
        <w:right w:val="none" w:sz="0" w:space="0" w:color="auto"/>
      </w:divBdr>
    </w:div>
    <w:div w:id="1385908236">
      <w:bodyDiv w:val="1"/>
      <w:marLeft w:val="0"/>
      <w:marRight w:val="0"/>
      <w:marTop w:val="0"/>
      <w:marBottom w:val="0"/>
      <w:divBdr>
        <w:top w:val="none" w:sz="0" w:space="0" w:color="auto"/>
        <w:left w:val="none" w:sz="0" w:space="0" w:color="auto"/>
        <w:bottom w:val="none" w:sz="0" w:space="0" w:color="auto"/>
        <w:right w:val="none" w:sz="0" w:space="0" w:color="auto"/>
      </w:divBdr>
    </w:div>
    <w:div w:id="1410888564">
      <w:bodyDiv w:val="1"/>
      <w:marLeft w:val="0"/>
      <w:marRight w:val="0"/>
      <w:marTop w:val="0"/>
      <w:marBottom w:val="0"/>
      <w:divBdr>
        <w:top w:val="none" w:sz="0" w:space="0" w:color="auto"/>
        <w:left w:val="none" w:sz="0" w:space="0" w:color="auto"/>
        <w:bottom w:val="none" w:sz="0" w:space="0" w:color="auto"/>
        <w:right w:val="none" w:sz="0" w:space="0" w:color="auto"/>
      </w:divBdr>
    </w:div>
    <w:div w:id="1473018873">
      <w:bodyDiv w:val="1"/>
      <w:marLeft w:val="0"/>
      <w:marRight w:val="0"/>
      <w:marTop w:val="0"/>
      <w:marBottom w:val="0"/>
      <w:divBdr>
        <w:top w:val="none" w:sz="0" w:space="0" w:color="auto"/>
        <w:left w:val="none" w:sz="0" w:space="0" w:color="auto"/>
        <w:bottom w:val="none" w:sz="0" w:space="0" w:color="auto"/>
        <w:right w:val="none" w:sz="0" w:space="0" w:color="auto"/>
      </w:divBdr>
    </w:div>
    <w:div w:id="1490251634">
      <w:bodyDiv w:val="1"/>
      <w:marLeft w:val="0"/>
      <w:marRight w:val="0"/>
      <w:marTop w:val="0"/>
      <w:marBottom w:val="0"/>
      <w:divBdr>
        <w:top w:val="none" w:sz="0" w:space="0" w:color="auto"/>
        <w:left w:val="none" w:sz="0" w:space="0" w:color="auto"/>
        <w:bottom w:val="none" w:sz="0" w:space="0" w:color="auto"/>
        <w:right w:val="none" w:sz="0" w:space="0" w:color="auto"/>
      </w:divBdr>
    </w:div>
    <w:div w:id="1792702485">
      <w:bodyDiv w:val="1"/>
      <w:marLeft w:val="0"/>
      <w:marRight w:val="0"/>
      <w:marTop w:val="0"/>
      <w:marBottom w:val="0"/>
      <w:divBdr>
        <w:top w:val="none" w:sz="0" w:space="0" w:color="auto"/>
        <w:left w:val="none" w:sz="0" w:space="0" w:color="auto"/>
        <w:bottom w:val="none" w:sz="0" w:space="0" w:color="auto"/>
        <w:right w:val="none" w:sz="0" w:space="0" w:color="auto"/>
      </w:divBdr>
    </w:div>
    <w:div w:id="1801999056">
      <w:bodyDiv w:val="1"/>
      <w:marLeft w:val="0"/>
      <w:marRight w:val="0"/>
      <w:marTop w:val="0"/>
      <w:marBottom w:val="0"/>
      <w:divBdr>
        <w:top w:val="none" w:sz="0" w:space="0" w:color="auto"/>
        <w:left w:val="none" w:sz="0" w:space="0" w:color="auto"/>
        <w:bottom w:val="none" w:sz="0" w:space="0" w:color="auto"/>
        <w:right w:val="none" w:sz="0" w:space="0" w:color="auto"/>
      </w:divBdr>
    </w:div>
    <w:div w:id="18160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rebeccaboden@gmail.com" TargetMode="External"/><Relationship Id="rId13" Type="http://schemas.openxmlformats.org/officeDocument/2006/relationships/hyperlink" Target="https://www.timeshighereducation.com/news/average-australian-v-c-pay-packet-may-top-a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meshighereducation.com/news/three-four-australian-v-cs-take-pay-cu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buck/Downloads/ReportoftheResearch-frontpages1.pdf.%20Accessed%2010%20January%20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nkee.com/university-vice-chancellor-salary/143593" TargetMode="External"/><Relationship Id="rId4" Type="http://schemas.openxmlformats.org/officeDocument/2006/relationships/settings" Target="settings.xml"/><Relationship Id="rId9" Type="http://schemas.openxmlformats.org/officeDocument/2006/relationships/hyperlink" Target="https://www.timeshighereducation.com/features/chalk-it-oversigh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566C-58AF-48D5-A06A-779752E9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7413</Words>
  <Characters>42257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Rowlands</dc:creator>
  <cp:keywords/>
  <dc:description/>
  <cp:lastModifiedBy>Julie Rowlands</cp:lastModifiedBy>
  <cp:revision>2</cp:revision>
  <cp:lastPrinted>2020-06-02T04:41:00Z</cp:lastPrinted>
  <dcterms:created xsi:type="dcterms:W3CDTF">2020-09-22T03:39:00Z</dcterms:created>
  <dcterms:modified xsi:type="dcterms:W3CDTF">2020-09-22T03:39:00Z</dcterms:modified>
</cp:coreProperties>
</file>