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221F29" w14:textId="77777777" w:rsidR="00095192" w:rsidRPr="00095192" w:rsidRDefault="00095192" w:rsidP="00095192">
      <w:pPr>
        <w:pStyle w:val="MDPI11articletype"/>
      </w:pPr>
      <w:bookmarkStart w:id="0" w:name="_Hlk38021409"/>
      <w:r w:rsidRPr="00095192">
        <w:t>A</w:t>
      </w:r>
      <w:r w:rsidRPr="00095192">
        <w:rPr>
          <w:rFonts w:eastAsiaTheme="minorEastAsia"/>
        </w:rPr>
        <w:t>rticle</w:t>
      </w:r>
    </w:p>
    <w:p w14:paraId="02124CE7" w14:textId="77777777" w:rsidR="00156BCB" w:rsidRPr="00095192" w:rsidRDefault="00156BCB" w:rsidP="00095192">
      <w:pPr>
        <w:pStyle w:val="MDPI12title"/>
      </w:pPr>
      <w:bookmarkStart w:id="1" w:name="_Hlk41290080"/>
      <w:r w:rsidRPr="00095192">
        <w:t xml:space="preserve">Characterization of intervertebral disc changes in asymptomatic individuals with distinct physical activity histories using three </w:t>
      </w:r>
      <w:bookmarkStart w:id="2" w:name="_Hlk34122147"/>
      <w:r w:rsidRPr="00095192">
        <w:t xml:space="preserve">different quantitative </w:t>
      </w:r>
      <w:bookmarkEnd w:id="2"/>
      <w:r w:rsidRPr="00095192">
        <w:t>MRI techniques</w:t>
      </w:r>
      <w:bookmarkEnd w:id="0"/>
      <w:bookmarkEnd w:id="1"/>
    </w:p>
    <w:p w14:paraId="131CE7B4" w14:textId="77777777" w:rsidR="00156BCB" w:rsidRPr="00095192" w:rsidRDefault="00156BCB" w:rsidP="00095192">
      <w:pPr>
        <w:pStyle w:val="MDPI13authornames"/>
      </w:pPr>
      <w:r w:rsidRPr="00095192">
        <w:t>Daniel L Belavy</w:t>
      </w:r>
      <w:r w:rsidR="00FC1A6A">
        <w:t xml:space="preserve"> </w:t>
      </w:r>
      <w:r w:rsidRPr="00095192">
        <w:rPr>
          <w:vertAlign w:val="superscript"/>
        </w:rPr>
        <w:t>1</w:t>
      </w:r>
      <w:r w:rsidR="00095192" w:rsidRPr="00095192">
        <w:rPr>
          <w:rFonts w:eastAsiaTheme="minorEastAsia"/>
          <w:lang w:eastAsia="zh-CN"/>
        </w:rPr>
        <w:t xml:space="preserve">, </w:t>
      </w:r>
      <w:r w:rsidRPr="00095192">
        <w:t>Helena Brisby</w:t>
      </w:r>
      <w:r w:rsidR="00FC1A6A">
        <w:t xml:space="preserve"> </w:t>
      </w:r>
      <w:r w:rsidRPr="00095192">
        <w:rPr>
          <w:vertAlign w:val="superscript"/>
        </w:rPr>
        <w:t>2</w:t>
      </w:r>
      <w:r w:rsidR="00095192" w:rsidRPr="00095192">
        <w:t xml:space="preserve">, </w:t>
      </w:r>
      <w:r w:rsidRPr="00095192">
        <w:t>Benjamin Douglas</w:t>
      </w:r>
      <w:r w:rsidR="00FC1A6A">
        <w:t xml:space="preserve"> </w:t>
      </w:r>
      <w:r w:rsidRPr="00095192">
        <w:rPr>
          <w:vertAlign w:val="superscript"/>
        </w:rPr>
        <w:t>3</w:t>
      </w:r>
      <w:r w:rsidR="00095192" w:rsidRPr="00095192">
        <w:t xml:space="preserve">, </w:t>
      </w:r>
      <w:r w:rsidRPr="00095192">
        <w:t>Hanna Hebelka</w:t>
      </w:r>
      <w:r w:rsidR="00FC1A6A">
        <w:t xml:space="preserve"> </w:t>
      </w:r>
      <w:r w:rsidR="00095192">
        <w:rPr>
          <w:vertAlign w:val="superscript"/>
        </w:rPr>
        <w:t>2</w:t>
      </w:r>
      <w:r w:rsidR="00095192" w:rsidRPr="00095192">
        <w:t xml:space="preserve">, </w:t>
      </w:r>
      <w:r w:rsidRPr="00095192">
        <w:t>Matthew J Quittner</w:t>
      </w:r>
      <w:r w:rsidR="00FC1A6A">
        <w:t xml:space="preserve"> </w:t>
      </w:r>
      <w:r w:rsidRPr="00095192">
        <w:rPr>
          <w:vertAlign w:val="superscript"/>
        </w:rPr>
        <w:t>1</w:t>
      </w:r>
      <w:r w:rsidR="00095192">
        <w:t>,</w:t>
      </w:r>
      <w:r w:rsidR="00095192" w:rsidRPr="00095192">
        <w:t xml:space="preserve"> </w:t>
      </w:r>
      <w:r w:rsidRPr="00095192">
        <w:t>Patrick J Owen</w:t>
      </w:r>
      <w:r w:rsidR="00FC1A6A">
        <w:t xml:space="preserve"> </w:t>
      </w:r>
      <w:r w:rsidRPr="00095192">
        <w:rPr>
          <w:vertAlign w:val="superscript"/>
        </w:rPr>
        <w:t>1</w:t>
      </w:r>
      <w:r w:rsidR="00095192" w:rsidRPr="00095192">
        <w:t xml:space="preserve">, </w:t>
      </w:r>
      <w:r w:rsidRPr="00095192">
        <w:t>Timo Rantalainen</w:t>
      </w:r>
      <w:r w:rsidR="00FC1A6A">
        <w:t xml:space="preserve"> </w:t>
      </w:r>
      <w:r w:rsidRPr="00095192">
        <w:rPr>
          <w:vertAlign w:val="superscript"/>
        </w:rPr>
        <w:t>4</w:t>
      </w:r>
      <w:r w:rsidR="00095192" w:rsidRPr="00095192">
        <w:t xml:space="preserve">, </w:t>
      </w:r>
      <w:r w:rsidRPr="00095192">
        <w:t>Guy Trudel</w:t>
      </w:r>
      <w:r w:rsidR="00FC1A6A">
        <w:t xml:space="preserve"> </w:t>
      </w:r>
      <w:r w:rsidRPr="00095192">
        <w:rPr>
          <w:vertAlign w:val="superscript"/>
        </w:rPr>
        <w:t>5</w:t>
      </w:r>
      <w:r w:rsidRPr="00095192">
        <w:rPr>
          <w:i/>
          <w:iCs/>
        </w:rPr>
        <w:t>, MSc</w:t>
      </w:r>
      <w:r w:rsidR="00095192" w:rsidRPr="00095192">
        <w:t xml:space="preserve"> and </w:t>
      </w:r>
      <w:r w:rsidRPr="00095192">
        <w:t>Kerstin Lagerstrand</w:t>
      </w:r>
      <w:r w:rsidR="00FC1A6A">
        <w:t xml:space="preserve"> </w:t>
      </w:r>
      <w:r w:rsidR="00095192">
        <w:rPr>
          <w:vertAlign w:val="superscript"/>
        </w:rPr>
        <w:t>2</w:t>
      </w:r>
    </w:p>
    <w:p w14:paraId="56F19731" w14:textId="77777777" w:rsidR="00156BCB" w:rsidRPr="00095192" w:rsidRDefault="00156BCB" w:rsidP="00095192">
      <w:pPr>
        <w:pStyle w:val="MDPI16affiliation"/>
      </w:pPr>
      <w:r w:rsidRPr="00095192">
        <w:rPr>
          <w:vertAlign w:val="superscript"/>
        </w:rPr>
        <w:t>1</w:t>
      </w:r>
      <w:r w:rsidR="00095192" w:rsidRPr="00095192">
        <w:tab/>
      </w:r>
      <w:r w:rsidRPr="00095192">
        <w:t>Deakin University, Institute for Physical Activity and Nutrition, School of Exercise and Nutrition Sciences, Geelong, Victoria, Australia</w:t>
      </w:r>
    </w:p>
    <w:p w14:paraId="0D42297E" w14:textId="77777777" w:rsidR="00156BCB" w:rsidRPr="00095192" w:rsidRDefault="00156BCB" w:rsidP="00095192">
      <w:pPr>
        <w:pStyle w:val="MDPI16affiliation"/>
      </w:pPr>
      <w:r w:rsidRPr="00095192">
        <w:rPr>
          <w:vertAlign w:val="superscript"/>
        </w:rPr>
        <w:t>2</w:t>
      </w:r>
      <w:r w:rsidR="00095192" w:rsidRPr="00095192">
        <w:tab/>
      </w:r>
      <w:r w:rsidRPr="00095192">
        <w:t>University of Gothenburg, Institute of Clinical Sciences, Sahlgrenska Academy, Gothenburg, Sweden</w:t>
      </w:r>
    </w:p>
    <w:p w14:paraId="3E3E6F76" w14:textId="77777777" w:rsidR="00156BCB" w:rsidRPr="00095192" w:rsidRDefault="00156BCB" w:rsidP="00095192">
      <w:pPr>
        <w:pStyle w:val="MDPI16affiliation"/>
      </w:pPr>
      <w:r w:rsidRPr="00095192">
        <w:rPr>
          <w:vertAlign w:val="superscript"/>
        </w:rPr>
        <w:t>3</w:t>
      </w:r>
      <w:r w:rsidR="00095192" w:rsidRPr="00095192">
        <w:tab/>
      </w:r>
      <w:r w:rsidRPr="00095192">
        <w:t>Deakin University, School of Exercise and Nutrition Sciences, Geelong, Victoria, Australia</w:t>
      </w:r>
    </w:p>
    <w:p w14:paraId="7C46CD8B" w14:textId="77777777" w:rsidR="00156BCB" w:rsidRPr="00095192" w:rsidRDefault="00156BCB" w:rsidP="00095192">
      <w:pPr>
        <w:pStyle w:val="MDPI16affiliation"/>
      </w:pPr>
      <w:r w:rsidRPr="00095192">
        <w:rPr>
          <w:vertAlign w:val="superscript"/>
        </w:rPr>
        <w:t>4</w:t>
      </w:r>
      <w:r w:rsidR="00095192" w:rsidRPr="00095192">
        <w:tab/>
      </w:r>
      <w:r w:rsidRPr="00095192">
        <w:t xml:space="preserve">University of </w:t>
      </w:r>
      <w:proofErr w:type="spellStart"/>
      <w:r w:rsidRPr="00095192">
        <w:t>Jyväskylä</w:t>
      </w:r>
      <w:proofErr w:type="spellEnd"/>
      <w:r w:rsidRPr="00095192">
        <w:t xml:space="preserve"> and Gerontology Research Center, Faculty of Sport and Health Sciences, </w:t>
      </w:r>
      <w:proofErr w:type="spellStart"/>
      <w:r w:rsidRPr="00095192">
        <w:t>Jyväskylä</w:t>
      </w:r>
      <w:proofErr w:type="spellEnd"/>
      <w:r w:rsidRPr="00095192">
        <w:t>, Finland</w:t>
      </w:r>
    </w:p>
    <w:p w14:paraId="434838DE" w14:textId="77777777" w:rsidR="00156BCB" w:rsidRPr="00095192" w:rsidRDefault="00156BCB" w:rsidP="00095192">
      <w:pPr>
        <w:pStyle w:val="MDPI16affiliation"/>
      </w:pPr>
      <w:r w:rsidRPr="00095192">
        <w:rPr>
          <w:vertAlign w:val="superscript"/>
        </w:rPr>
        <w:t>5</w:t>
      </w:r>
      <w:r w:rsidR="00095192" w:rsidRPr="00095192">
        <w:tab/>
      </w:r>
      <w:r w:rsidRPr="00095192">
        <w:t>University of Ottawa, Department of Medicine, Division of Physical Medicine and Rehabilitation, Bone and Joint Research Laboratory, Canada</w:t>
      </w:r>
    </w:p>
    <w:p w14:paraId="44BA81BA" w14:textId="77777777" w:rsidR="00095192" w:rsidRPr="00095192" w:rsidRDefault="00095192" w:rsidP="00095192">
      <w:pPr>
        <w:pStyle w:val="MDPI16affiliation"/>
        <w:rPr>
          <w:color w:val="auto"/>
        </w:rPr>
      </w:pPr>
      <w:r w:rsidRPr="00095192">
        <w:rPr>
          <w:b/>
        </w:rPr>
        <w:t>*</w:t>
      </w:r>
      <w:r>
        <w:tab/>
      </w:r>
      <w:r w:rsidRPr="00095192">
        <w:t>Correspondence</w:t>
      </w:r>
      <w:r w:rsidR="00156BCB" w:rsidRPr="00095192">
        <w:t xml:space="preserve">: </w:t>
      </w:r>
      <w:hyperlink r:id="rId7" w:history="1">
        <w:r w:rsidRPr="00095192">
          <w:rPr>
            <w:rStyle w:val="Hyperlnk"/>
            <w:color w:val="auto"/>
          </w:rPr>
          <w:t>kerstin.lagerstrand@vgregion.se</w:t>
        </w:r>
      </w:hyperlink>
      <w:r w:rsidRPr="00095192">
        <w:rPr>
          <w:color w:val="auto"/>
        </w:rPr>
        <w:t>; Tel: +46 700824436</w:t>
      </w:r>
    </w:p>
    <w:p w14:paraId="420F97AF" w14:textId="77777777" w:rsidR="00095192" w:rsidRPr="00095192" w:rsidRDefault="00095192" w:rsidP="00095192">
      <w:pPr>
        <w:pStyle w:val="MDPI14history"/>
        <w:rPr>
          <w:color w:val="auto"/>
        </w:rPr>
      </w:pPr>
      <w:r w:rsidRPr="00095192">
        <w:rPr>
          <w:color w:val="auto"/>
        </w:rPr>
        <w:t xml:space="preserve">Received: date; Accepted: date; Published: date </w:t>
      </w:r>
    </w:p>
    <w:p w14:paraId="6B3AE99E" w14:textId="77777777" w:rsidR="00156BCB" w:rsidRPr="00095192" w:rsidRDefault="00156BCB" w:rsidP="00095192">
      <w:pPr>
        <w:pStyle w:val="MDPI17abstract"/>
        <w:rPr>
          <w:b/>
          <w:bCs/>
        </w:rPr>
      </w:pPr>
      <w:r w:rsidRPr="00095192">
        <w:rPr>
          <w:b/>
          <w:bCs/>
        </w:rPr>
        <w:t>ABSTRACT</w:t>
      </w:r>
      <w:r w:rsidR="00095192" w:rsidRPr="00095192">
        <w:rPr>
          <w:b/>
          <w:bCs/>
        </w:rPr>
        <w:t xml:space="preserve">: </w:t>
      </w:r>
      <w:r w:rsidRPr="00095192">
        <w:rPr>
          <w:b/>
        </w:rPr>
        <w:t xml:space="preserve">Background: </w:t>
      </w:r>
      <w:r w:rsidRPr="00095192">
        <w:t>Assessments of intervertebral disc (IVD) changes, and IVD tissue adaptations due to e.g. physical activity remains challenging. Newer magnetic resonance imaging techniques can quantify detailed features of the IVD, where</w:t>
      </w:r>
      <w:r w:rsidRPr="00095192" w:rsidDel="00AE7CB8">
        <w:t xml:space="preserve"> </w:t>
      </w:r>
      <w:r w:rsidRPr="00095192">
        <w:t>T2-mapping, T2-weighted (T2w) and Dixon imaging are potential candidates. Yet their relative utility has not been examined.</w:t>
      </w:r>
      <w:r w:rsidR="00095192">
        <w:rPr>
          <w:b/>
          <w:bCs/>
        </w:rPr>
        <w:t xml:space="preserve"> </w:t>
      </w:r>
      <w:r w:rsidRPr="00095192">
        <w:t>The performance of these techniques was investigated to characterize IVD differences in asymptomatic individuals with distinct physical activity histories.</w:t>
      </w:r>
      <w:r w:rsidR="00095192">
        <w:rPr>
          <w:b/>
          <w:bCs/>
        </w:rPr>
        <w:t xml:space="preserve"> </w:t>
      </w:r>
      <w:r w:rsidRPr="00095192">
        <w:rPr>
          <w:b/>
        </w:rPr>
        <w:t>Methods</w:t>
      </w:r>
      <w:r w:rsidRPr="00095192">
        <w:t>: 101 participants (54 women) aged 25-35years with distinct physical activity histories but without history of spinal disease were included. T11/12 to L5/S1 IVDs were examined with sagittal T2-mapping, T2w MRI and Dixon imaging.</w:t>
      </w:r>
      <w:r w:rsidR="00095192">
        <w:rPr>
          <w:b/>
          <w:bCs/>
        </w:rPr>
        <w:t xml:space="preserve"> </w:t>
      </w:r>
      <w:r w:rsidRPr="00095192">
        <w:rPr>
          <w:b/>
        </w:rPr>
        <w:t>Results</w:t>
      </w:r>
      <w:r w:rsidRPr="00095192">
        <w:t>: T2-mapping differentiated Pfirrmann grade-1 from all other grades (p&lt;0.001). Most importantly, T2-mapping was able to characterize IVD differences in individuals with different training histories (p&lt;0.005). Dixon displayed weak correlations with the Pfirrmann scale and the other techniques but presented significantly higher water content in IVDs of the long-distance runners (&lt;0.005).</w:t>
      </w:r>
      <w:r w:rsidR="00095192">
        <w:rPr>
          <w:b/>
          <w:bCs/>
        </w:rPr>
        <w:t xml:space="preserve"> </w:t>
      </w:r>
      <w:r w:rsidRPr="00095192">
        <w:rPr>
          <w:b/>
        </w:rPr>
        <w:t>Conclusions</w:t>
      </w:r>
      <w:r w:rsidRPr="00095192">
        <w:t>: Findings suggested that T2-mapping best reflect IVD differences in asymptomatic individuals with distinct physical activity histories changes. Dixon characterized new aspects of IVD, probably associated with IVD hypertrophy. This complementary information may help to better understand the biological function of the disc.</w:t>
      </w:r>
    </w:p>
    <w:p w14:paraId="4E213275" w14:textId="77777777" w:rsidR="00095192" w:rsidRDefault="00095192" w:rsidP="00095192">
      <w:pPr>
        <w:pStyle w:val="MDPI18keywords"/>
      </w:pPr>
      <w:r w:rsidRPr="00095192">
        <w:rPr>
          <w:b/>
          <w:bCs/>
        </w:rPr>
        <w:t>Keywords:</w:t>
      </w:r>
      <w:r w:rsidR="00156BCB" w:rsidRPr="00095192">
        <w:rPr>
          <w:b/>
        </w:rPr>
        <w:t xml:space="preserve"> </w:t>
      </w:r>
      <w:r w:rsidR="00F71A58" w:rsidRPr="00095192">
        <w:t>i</w:t>
      </w:r>
      <w:r w:rsidR="00156BCB" w:rsidRPr="00095192">
        <w:t xml:space="preserve">ntervertebral disc; </w:t>
      </w:r>
      <w:r w:rsidR="00F563BD" w:rsidRPr="00095192">
        <w:t>m</w:t>
      </w:r>
      <w:r w:rsidR="00156BCB" w:rsidRPr="00095192">
        <w:t>agnetic resonance imaging; sport medicine; T2-mapping; Dixon</w:t>
      </w:r>
    </w:p>
    <w:p w14:paraId="6A99873F" w14:textId="77777777" w:rsidR="00095192" w:rsidRDefault="00095192" w:rsidP="00095192">
      <w:pPr>
        <w:pBdr>
          <w:bottom w:val="single" w:sz="4" w:space="1" w:color="000000"/>
        </w:pBdr>
        <w:adjustRightInd w:val="0"/>
        <w:snapToGrid w:val="0"/>
        <w:spacing w:after="480" w:line="260" w:lineRule="atLeast"/>
        <w:contextualSpacing/>
        <w:rPr>
          <w:rFonts w:ascii="Palatino Linotype" w:eastAsia="Times New Roman" w:hAnsi="Palatino Linotype" w:cs="Times New Roman"/>
          <w:sz w:val="24"/>
          <w:szCs w:val="24"/>
          <w:lang w:val="en-US"/>
        </w:rPr>
      </w:pPr>
    </w:p>
    <w:p w14:paraId="1EE66670" w14:textId="77777777" w:rsidR="00156BCB" w:rsidRPr="00095192" w:rsidRDefault="00156BCB" w:rsidP="00095192">
      <w:pPr>
        <w:pStyle w:val="MDPI21heading1"/>
      </w:pPr>
      <w:r w:rsidRPr="00095192">
        <w:t>INTRODUCTION</w:t>
      </w:r>
    </w:p>
    <w:p w14:paraId="07F49568" w14:textId="77777777" w:rsidR="00156BCB" w:rsidRPr="00095192" w:rsidRDefault="00156BCB" w:rsidP="00095192">
      <w:pPr>
        <w:pStyle w:val="MDPI31text"/>
      </w:pPr>
      <w:r w:rsidRPr="00095192">
        <w:t xml:space="preserve">The intervertebral disc (IVD) consists of the outer annulus fibrosus and the gelatinous central nucleus pulposus [1]. The high content of type 1 collagen containing fibers in the annulus fibrosus creates a strong fibrous ring, whereas the nucleus pulposus matrix is built up by type 2 collagen and water binding proteoglycan molecules. The IVD degenerates with aging and if injured, structural changes might precipitate and maintain low back pain [2]. The degeneration of discs within the lumbar spine </w:t>
      </w:r>
      <w:bookmarkStart w:id="3" w:name="_Hlk41234980"/>
      <w:r w:rsidRPr="00095192">
        <w:t>start early in life</w:t>
      </w:r>
      <w:bookmarkEnd w:id="3"/>
      <w:r w:rsidR="00BA433D" w:rsidRPr="00444ACC">
        <w:t>,</w:t>
      </w:r>
      <w:bookmarkStart w:id="4" w:name="_Hlk41235039"/>
      <w:r w:rsidRPr="00444ACC">
        <w:t xml:space="preserve"> </w:t>
      </w:r>
      <w:r w:rsidR="00BA433D" w:rsidRPr="00444ACC">
        <w:t xml:space="preserve">as early as </w:t>
      </w:r>
      <w:r w:rsidRPr="00444ACC">
        <w:t>20</w:t>
      </w:r>
      <w:r w:rsidR="00BA433D" w:rsidRPr="00444ACC">
        <w:t xml:space="preserve"> years</w:t>
      </w:r>
      <w:bookmarkEnd w:id="4"/>
      <w:r w:rsidRPr="00444ACC">
        <w:t xml:space="preserve"> [3]. Thus, to measure subclinical changes within </w:t>
      </w:r>
      <w:r w:rsidRPr="00444ACC">
        <w:lastRenderedPageBreak/>
        <w:t>the IVD tissue might be of value to gain increased knowledge regarding the complex degenerative process and to understand the more advanced stages of degeneration. Furthermore, imaging data that can be linked to degeneration and used as markers for</w:t>
      </w:r>
      <w:r w:rsidRPr="00095192">
        <w:t xml:space="preserve"> long-term follow-up could have wide applications in the search for novel therapies of the disc.</w:t>
      </w:r>
    </w:p>
    <w:p w14:paraId="2D7E217A" w14:textId="5A5C7ACF" w:rsidR="00444ACC" w:rsidRPr="00E826A9" w:rsidRDefault="00156BCB" w:rsidP="00444ACC">
      <w:pPr>
        <w:pStyle w:val="MDPI31text"/>
      </w:pPr>
      <w:r w:rsidRPr="00095192">
        <w:t xml:space="preserve">Qualitative or categorical scales have been used to grade IVD degeneration (e.g. the Pfirrmann scoring system [4]). In addition, </w:t>
      </w:r>
      <w:bookmarkStart w:id="5" w:name="_Hlk41240905"/>
      <w:r w:rsidRPr="00095192">
        <w:t>quantitative MRI techniques have been developed that can detect degenerative IVD changes on a continuous scale of measurement. [5]. A</w:t>
      </w:r>
      <w:r w:rsidR="00E10DAF">
        <w:t>lso, a</w:t>
      </w:r>
      <w:r w:rsidRPr="00095192">
        <w:t xml:space="preserve">dvanced analysis </w:t>
      </w:r>
      <w:r w:rsidRPr="00E826A9">
        <w:t xml:space="preserve">software has enabled automated quantification of the IVD degeneration, as well as detailed characterization of different degeneration patterns [6]. However, </w:t>
      </w:r>
      <w:bookmarkStart w:id="6" w:name="_Hlk41241107"/>
      <w:r w:rsidRPr="00E826A9">
        <w:t>comparisons of the usefulness of quantitative MRI has received little attention.</w:t>
      </w:r>
      <w:bookmarkEnd w:id="5"/>
      <w:r w:rsidRPr="00E826A9">
        <w:t xml:space="preserve"> </w:t>
      </w:r>
      <w:bookmarkEnd w:id="6"/>
    </w:p>
    <w:p w14:paraId="2AD20106" w14:textId="67272C69" w:rsidR="00444ACC" w:rsidRPr="00E826A9" w:rsidRDefault="00156BCB" w:rsidP="004706B8">
      <w:pPr>
        <w:pStyle w:val="MDPI31text"/>
      </w:pPr>
      <w:r w:rsidRPr="00E826A9">
        <w:t>T2-mapping is commonly used in spin</w:t>
      </w:r>
      <w:r w:rsidR="004706B8" w:rsidRPr="00E826A9">
        <w:t>e</w:t>
      </w:r>
      <w:r w:rsidRPr="00E826A9">
        <w:t xml:space="preserve"> research</w:t>
      </w:r>
      <w:r w:rsidR="006866A4" w:rsidRPr="00E826A9">
        <w:t xml:space="preserve"> for characterization of degenerative disc changes</w:t>
      </w:r>
      <w:r w:rsidRPr="00E826A9">
        <w:t xml:space="preserve">. </w:t>
      </w:r>
      <w:r w:rsidR="00444ACC" w:rsidRPr="00E826A9">
        <w:t xml:space="preserve">With T2-mapping, objective and quantitative measures of the disc is provided, reflecting both water content and the orientation of collagen </w:t>
      </w:r>
      <w:proofErr w:type="spellStart"/>
      <w:r w:rsidR="00444ACC" w:rsidRPr="00E826A9">
        <w:t>fibres</w:t>
      </w:r>
      <w:proofErr w:type="spellEnd"/>
      <w:r w:rsidR="00444ACC" w:rsidRPr="00E826A9">
        <w:t xml:space="preserve">. Moreover, </w:t>
      </w:r>
      <w:r w:rsidR="004706B8" w:rsidRPr="00E826A9">
        <w:t xml:space="preserve">the group of Belavy have recently reported </w:t>
      </w:r>
      <w:r w:rsidRPr="00E826A9">
        <w:t xml:space="preserve">significant differences in </w:t>
      </w:r>
      <w:r w:rsidR="00444ACC" w:rsidRPr="00E826A9">
        <w:t>IVD</w:t>
      </w:r>
      <w:r w:rsidRPr="00E826A9">
        <w:t xml:space="preserve"> composition between groups with different training histories </w:t>
      </w:r>
      <w:r w:rsidR="004706B8" w:rsidRPr="00E826A9">
        <w:t>[7</w:t>
      </w:r>
      <w:r w:rsidR="006A6469" w:rsidRPr="00E826A9">
        <w:t>-9</w:t>
      </w:r>
      <w:r w:rsidR="004706B8" w:rsidRPr="00E826A9">
        <w:t xml:space="preserve">] and has from a </w:t>
      </w:r>
      <w:r w:rsidR="0053747F">
        <w:t>randomized controlled trial in patient with low back pain evaluat</w:t>
      </w:r>
      <w:r w:rsidR="0053747F">
        <w:t>ed</w:t>
      </w:r>
      <w:r w:rsidR="0053747F">
        <w:t xml:space="preserve"> the effect of exercise recommended alternative MR</w:t>
      </w:r>
      <w:r w:rsidR="0053747F">
        <w:t>I</w:t>
      </w:r>
      <w:r w:rsidR="0053747F">
        <w:t xml:space="preserve"> markers of IVD changes</w:t>
      </w:r>
      <w:r w:rsidR="0053747F" w:rsidRPr="00E826A9">
        <w:t xml:space="preserve"> </w:t>
      </w:r>
      <w:r w:rsidR="006A6469" w:rsidRPr="00E826A9">
        <w:t>[10]</w:t>
      </w:r>
      <w:r w:rsidR="00444ACC" w:rsidRPr="00E826A9">
        <w:t>.</w:t>
      </w:r>
    </w:p>
    <w:p w14:paraId="236E1574" w14:textId="290B4314" w:rsidR="00156BCB" w:rsidRDefault="00156BCB" w:rsidP="00095192">
      <w:pPr>
        <w:pStyle w:val="MDPI31text"/>
      </w:pPr>
      <w:r w:rsidRPr="00E826A9">
        <w:t xml:space="preserve">Another quantitative MRI technique for characterization </w:t>
      </w:r>
      <w:r w:rsidR="004D30B5" w:rsidRPr="00E826A9">
        <w:t xml:space="preserve">of </w:t>
      </w:r>
      <w:r w:rsidR="006866A4" w:rsidRPr="00E826A9">
        <w:t xml:space="preserve">degenerative disc changes </w:t>
      </w:r>
      <w:r w:rsidRPr="00E826A9">
        <w:t>is T2-weighted (T2w) imaging [</w:t>
      </w:r>
      <w:r w:rsidR="00B034D4" w:rsidRPr="00E826A9">
        <w:t>11</w:t>
      </w:r>
      <w:r w:rsidRPr="00E826A9">
        <w:t>-1</w:t>
      </w:r>
      <w:r w:rsidR="00B034D4" w:rsidRPr="00E826A9">
        <w:t>3</w:t>
      </w:r>
      <w:r w:rsidRPr="00E826A9">
        <w:t xml:space="preserve">]. </w:t>
      </w:r>
      <w:r w:rsidR="006A6469" w:rsidRPr="00E826A9">
        <w:rPr>
          <w:shd w:val="clear" w:color="auto" w:fill="FFFFFF" w:themeFill="background1"/>
        </w:rPr>
        <w:t>Similar to T2-mapping, T2w imaging relies on T2 relaxation and, as such, reflects the water content as well as the matrix structure of the IVD</w:t>
      </w:r>
      <w:r w:rsidR="006A6469" w:rsidRPr="00E826A9">
        <w:t xml:space="preserve"> </w:t>
      </w:r>
      <w:r w:rsidRPr="00E826A9">
        <w:t>[1</w:t>
      </w:r>
      <w:r w:rsidR="00B034D4" w:rsidRPr="00E826A9">
        <w:t>4</w:t>
      </w:r>
      <w:r w:rsidRPr="00E826A9">
        <w:t xml:space="preserve">]. T2w imaging is not currently used in the clinic to quantify </w:t>
      </w:r>
      <w:r w:rsidR="00195C90" w:rsidRPr="00E826A9">
        <w:t>IVD</w:t>
      </w:r>
      <w:r w:rsidRPr="00E826A9">
        <w:t xml:space="preserve"> changes, since the contrast is influenced by several factors, including machine type, sensitivity of the coil, subject position, that limit its usefulness. </w:t>
      </w:r>
      <w:r w:rsidR="006A6469" w:rsidRPr="00E826A9">
        <w:rPr>
          <w:shd w:val="clear" w:color="auto" w:fill="FFFFFF" w:themeFill="background1"/>
        </w:rPr>
        <w:t>In the clinical setting, however, T2w imaging is routinely used for visualization of the spine and has the advantage of being robust as well as fast in comparison with T2-mapping</w:t>
      </w:r>
      <w:r w:rsidRPr="00E826A9">
        <w:t xml:space="preserve">. As such, T2w imaging is an attractive technique to further adapt as a tool for quantification of degenerative </w:t>
      </w:r>
      <w:r w:rsidR="00207F77" w:rsidRPr="00E826A9">
        <w:t>disc</w:t>
      </w:r>
      <w:r w:rsidRPr="006A6469">
        <w:t xml:space="preserve"> changes. The Dixon technique [1</w:t>
      </w:r>
      <w:r w:rsidR="00B034D4">
        <w:t>5</w:t>
      </w:r>
      <w:r w:rsidRPr="006A6469">
        <w:t>], previously not applied for IVD evaluation, has been extensively used in the literature to quantify the fat content of the liver. Technological advances have recently been incorporated into the technique [1</w:t>
      </w:r>
      <w:r w:rsidR="00B034D4">
        <w:t>6</w:t>
      </w:r>
      <w:r w:rsidRPr="006A6469">
        <w:t xml:space="preserve">], providing resources for robust reconstruction of water/vascular regression images. </w:t>
      </w:r>
      <w:bookmarkStart w:id="7" w:name="_Hlk41240427"/>
      <w:bookmarkStart w:id="8" w:name="_Hlk41240450"/>
      <w:r w:rsidRPr="006A6469">
        <w:t xml:space="preserve">As such, Dixon imaging should be able to detect differences in the water content of the IVD </w:t>
      </w:r>
      <w:r w:rsidR="00132BD4" w:rsidRPr="006A6469">
        <w:t>without reflecting the structure of the IVD matrix and, thus, reflect other aspects of disc degeneration than T2-mapping and T2w imaging</w:t>
      </w:r>
      <w:bookmarkEnd w:id="7"/>
      <w:r w:rsidR="00132BD4" w:rsidRPr="006A6469">
        <w:t xml:space="preserve"> techniques</w:t>
      </w:r>
      <w:r w:rsidRPr="006A6469">
        <w:t xml:space="preserve">. </w:t>
      </w:r>
      <w:bookmarkEnd w:id="8"/>
      <w:r w:rsidRPr="006A6469">
        <w:t>This in combination</w:t>
      </w:r>
      <w:r w:rsidRPr="00095192">
        <w:t xml:space="preserve"> with a very short scan time are promising features for clinical use in the IVD evaluation.</w:t>
      </w:r>
    </w:p>
    <w:p w14:paraId="5139BCD6" w14:textId="00C17A16" w:rsidR="00156BCB" w:rsidRPr="00095192" w:rsidRDefault="00156BCB" w:rsidP="00095192">
      <w:pPr>
        <w:pStyle w:val="MDPI31text"/>
      </w:pPr>
      <w:r w:rsidRPr="00095192">
        <w:t xml:space="preserve">In this study, we </w:t>
      </w:r>
      <w:bookmarkStart w:id="9" w:name="_Hlk41241299"/>
      <w:r w:rsidRPr="00095192">
        <w:t>investigated the performance of the three different quantitative techniques</w:t>
      </w:r>
      <w:bookmarkEnd w:id="9"/>
      <w:r w:rsidRPr="00095192">
        <w:t>, T2-mapping, T2w and Dixon imaging, to characterize IVD differences in asymptomatic individuals with distinct physical activity histories.</w:t>
      </w:r>
    </w:p>
    <w:p w14:paraId="2F0E3256" w14:textId="77777777" w:rsidR="00156BCB" w:rsidRPr="00095192" w:rsidRDefault="00156BCB" w:rsidP="00095192">
      <w:pPr>
        <w:pStyle w:val="MDPI21heading1"/>
      </w:pPr>
      <w:r w:rsidRPr="00095192">
        <w:t>MATERIAL AND METHODS</w:t>
      </w:r>
    </w:p>
    <w:p w14:paraId="4EADE9DA" w14:textId="77777777" w:rsidR="00156BCB" w:rsidRPr="00095192" w:rsidRDefault="00156BCB" w:rsidP="00095192">
      <w:pPr>
        <w:pStyle w:val="MDPI22heading2"/>
      </w:pPr>
      <w:r w:rsidRPr="00095192">
        <w:t>Ethical approval and subjects</w:t>
      </w:r>
    </w:p>
    <w:p w14:paraId="00F13D85" w14:textId="6B919D7F" w:rsidR="002A51DF" w:rsidRPr="00AB2CEE" w:rsidRDefault="00156BCB" w:rsidP="00095192">
      <w:pPr>
        <w:pStyle w:val="MDPI31text"/>
      </w:pPr>
      <w:r w:rsidRPr="00095192">
        <w:t>This study was a secondary analysis of an existing dataset [</w:t>
      </w:r>
      <w:r w:rsidR="00B034D4">
        <w:t>9</w:t>
      </w:r>
      <w:r w:rsidRPr="00095192">
        <w:t xml:space="preserve">; </w:t>
      </w:r>
      <w:r w:rsidR="00B034D4">
        <w:t>10</w:t>
      </w:r>
      <w:r w:rsidRPr="00095192">
        <w:t xml:space="preserve">] on the impact of physical activity and </w:t>
      </w:r>
      <w:r w:rsidRPr="00AB2CEE">
        <w:t>inactivity on the spine in an asymptomatic population. The data set consisted of 101 participants, 54% women</w:t>
      </w:r>
      <w:r w:rsidR="00653252" w:rsidRPr="00AB2CEE">
        <w:t xml:space="preserve"> and 46% men</w:t>
      </w:r>
      <w:r w:rsidRPr="00AB2CEE">
        <w:t xml:space="preserve">, mean </w:t>
      </w:r>
      <w:proofErr w:type="gramStart"/>
      <w:r w:rsidRPr="00AB2CEE">
        <w:t>age(</w:t>
      </w:r>
      <w:proofErr w:type="gramEnd"/>
      <w:r w:rsidRPr="00AB2CEE">
        <w:t>SD) 30.0(3.6)years, 173.5(9.6)cm height, 69.9(13.4)kg mass, divided into four groups of individuals with distinct physical activity histories, but similar Pfirrmann grade distributions</w:t>
      </w:r>
      <w:r w:rsidR="002A51DF" w:rsidRPr="00AB2CEE">
        <w:t xml:space="preserve">. </w:t>
      </w:r>
      <w:bookmarkStart w:id="10" w:name="_Hlk41235145"/>
      <w:r w:rsidR="002A51DF" w:rsidRPr="00AB2CEE">
        <w:t>Only people with a minimum of 5 years history at their current physical activity level were included in the study: either no sport (sedentary referents), cyclists reporting a minimum of 150 km cycled per week (high-volume road cyclists), 20–40 km per week running (joggers), or 50 + km per week running (long-distance runners). See previous work [</w:t>
      </w:r>
      <w:r w:rsidR="00B034D4">
        <w:t>9</w:t>
      </w:r>
      <w:r w:rsidR="002A51DF" w:rsidRPr="00AB2CEE">
        <w:t xml:space="preserve">; </w:t>
      </w:r>
      <w:r w:rsidR="00B034D4">
        <w:t>10</w:t>
      </w:r>
      <w:r w:rsidR="002A51DF" w:rsidRPr="00AB2CEE">
        <w:t>] for further details</w:t>
      </w:r>
      <w:bookmarkEnd w:id="10"/>
      <w:r w:rsidR="002A51DF" w:rsidRPr="00AB2CEE">
        <w:t>.</w:t>
      </w:r>
    </w:p>
    <w:p w14:paraId="41D1CB51" w14:textId="77777777" w:rsidR="00156BCB" w:rsidRPr="00095192" w:rsidRDefault="00156BCB" w:rsidP="00095192">
      <w:pPr>
        <w:pStyle w:val="MDPI31text"/>
      </w:pPr>
      <w:r w:rsidRPr="00AB2CEE">
        <w:t>Exclusion criteria included current spinal (cervical, thoracic or lumbar) pain, history of spinal surgery, history of traumatic injury to the spine, known scoliosis for which prior medical consultation was been sought, current or prior smoker, known claustrophobia and possible pregnancy.</w:t>
      </w:r>
      <w:r w:rsidRPr="00095192">
        <w:t xml:space="preserve"> </w:t>
      </w:r>
    </w:p>
    <w:p w14:paraId="2871BE84" w14:textId="77777777" w:rsidR="00156BCB" w:rsidRPr="00095192" w:rsidRDefault="00156BCB" w:rsidP="00095192">
      <w:pPr>
        <w:pStyle w:val="MDPI31text"/>
      </w:pPr>
      <w:r w:rsidRPr="00095192">
        <w:lastRenderedPageBreak/>
        <w:t xml:space="preserve">All subjects gave their informed consent for inclusion before they participated in the study. The study was conducted in accordance with the Declaration of Helsinki. The study was approved by the Deakin University Faculty of Health human ethics advisory group. </w:t>
      </w:r>
    </w:p>
    <w:p w14:paraId="2EA695F6" w14:textId="77777777" w:rsidR="00156BCB" w:rsidRPr="00095192" w:rsidRDefault="00156BCB" w:rsidP="00095192">
      <w:pPr>
        <w:pStyle w:val="MDPI22heading2"/>
      </w:pPr>
      <w:r w:rsidRPr="00095192">
        <w:t>Testing and MR scanning protocol</w:t>
      </w:r>
    </w:p>
    <w:p w14:paraId="47D3C733" w14:textId="79215972" w:rsidR="00156BCB" w:rsidRPr="00095192" w:rsidRDefault="00156BCB" w:rsidP="00095192">
      <w:pPr>
        <w:pStyle w:val="MDPI31text"/>
      </w:pPr>
      <w:r w:rsidRPr="00095192">
        <w:t>Participants were instructed to perform no exercise on the day of their scan. To avoid the impact of normal diurnal variation on the spine [1</w:t>
      </w:r>
      <w:r w:rsidR="00B034D4">
        <w:t>7</w:t>
      </w:r>
      <w:r w:rsidRPr="00095192">
        <w:t xml:space="preserve">], all testing was performed after midday. Upon arriving at the radiology facility, participants were required to sit for a minimum of 20 minutes prior to entering the scanner to help </w:t>
      </w:r>
      <w:r w:rsidR="00AB2CEE" w:rsidRPr="00095192">
        <w:t>standardize</w:t>
      </w:r>
      <w:r w:rsidRPr="00095192">
        <w:t xml:space="preserve"> IVD hydration status. Participants sat for a </w:t>
      </w:r>
      <w:proofErr w:type="gramStart"/>
      <w:r w:rsidRPr="00095192">
        <w:t>mean(</w:t>
      </w:r>
      <w:proofErr w:type="gramEnd"/>
      <w:r w:rsidRPr="00095192">
        <w:t xml:space="preserve">SD) of 46(17) minutes. Spine volume from the T11 vertebral body to the sacrum was imaged in all subjects using a 3T Phillips </w:t>
      </w:r>
      <w:proofErr w:type="spellStart"/>
      <w:r w:rsidRPr="00095192">
        <w:t>Ingenia</w:t>
      </w:r>
      <w:proofErr w:type="spellEnd"/>
      <w:r w:rsidRPr="00095192">
        <w:t xml:space="preserve"> scanner (Amsterdam, Netherlands). Three different scan protocols were used:</w:t>
      </w:r>
    </w:p>
    <w:p w14:paraId="228DB849" w14:textId="77777777" w:rsidR="00156BCB" w:rsidRPr="00095192" w:rsidRDefault="00156BCB" w:rsidP="00095192">
      <w:pPr>
        <w:pStyle w:val="Liststycke"/>
        <w:numPr>
          <w:ilvl w:val="0"/>
          <w:numId w:val="36"/>
        </w:numPr>
        <w:adjustRightInd w:val="0"/>
        <w:snapToGrid w:val="0"/>
        <w:spacing w:after="0" w:line="260" w:lineRule="atLeast"/>
        <w:ind w:left="714" w:hanging="357"/>
        <w:jc w:val="both"/>
        <w:rPr>
          <w:rFonts w:ascii="Palatino Linotype" w:hAnsi="Palatino Linotype" w:cs="Times New Roman"/>
          <w:sz w:val="20"/>
          <w:szCs w:val="20"/>
          <w:lang w:val="en-US"/>
        </w:rPr>
      </w:pPr>
      <w:r w:rsidRPr="00095192">
        <w:rPr>
          <w:rFonts w:ascii="Palatino Linotype" w:hAnsi="Palatino Linotype" w:cs="Times New Roman"/>
          <w:sz w:val="20"/>
          <w:szCs w:val="20"/>
          <w:lang w:val="en-US"/>
        </w:rPr>
        <w:t>Sagittal T2-mapping using a spin-echo multi-echo sequences (8 echo times: 15.75, 36.75, 57.75, 78.75, 99.75, 120.75, 141.75 and 162.75ms, repetition time: 2000ms, number of slices: 12, slice thickness 3mm; interslice distance: 1.5mm; field-of-view: 281x281 mm, resolution: 0.366 mm per pixel, acquisition time: 9min 30s).</w:t>
      </w:r>
    </w:p>
    <w:p w14:paraId="31E38A4F" w14:textId="77777777" w:rsidR="00156BCB" w:rsidRPr="00095192" w:rsidRDefault="00156BCB" w:rsidP="00095192">
      <w:pPr>
        <w:pStyle w:val="Liststycke"/>
        <w:numPr>
          <w:ilvl w:val="0"/>
          <w:numId w:val="36"/>
        </w:numPr>
        <w:adjustRightInd w:val="0"/>
        <w:snapToGrid w:val="0"/>
        <w:spacing w:after="0" w:line="260" w:lineRule="atLeast"/>
        <w:ind w:left="714" w:hanging="357"/>
        <w:jc w:val="both"/>
        <w:rPr>
          <w:rFonts w:ascii="Palatino Linotype" w:eastAsia="Times New Roman" w:hAnsi="Palatino Linotype" w:cs="Times New Roman"/>
          <w:sz w:val="20"/>
          <w:szCs w:val="20"/>
          <w:lang w:val="en-US"/>
        </w:rPr>
      </w:pPr>
      <w:r w:rsidRPr="00095192">
        <w:rPr>
          <w:rFonts w:ascii="Palatino Linotype" w:hAnsi="Palatino Linotype" w:cs="Times New Roman"/>
          <w:sz w:val="20"/>
          <w:szCs w:val="20"/>
          <w:lang w:val="en-US"/>
        </w:rPr>
        <w:t>Sagittal T2w imaging (echo time: 70ms, repetition time: 2600ms, number of slices: 15, slice thickness: 3mm, interslice distance: 1.5mm, field-of-view: 357x357 mm, resolution: 0.532 mm per pixel, acquisition time: 3min).</w:t>
      </w:r>
    </w:p>
    <w:p w14:paraId="013DBE9D" w14:textId="2DE5FC27" w:rsidR="00156BCB" w:rsidRPr="00095192" w:rsidRDefault="00156BCB" w:rsidP="00095192">
      <w:pPr>
        <w:pStyle w:val="Liststycke"/>
        <w:numPr>
          <w:ilvl w:val="0"/>
          <w:numId w:val="36"/>
        </w:numPr>
        <w:adjustRightInd w:val="0"/>
        <w:snapToGrid w:val="0"/>
        <w:spacing w:after="0" w:line="260" w:lineRule="atLeast"/>
        <w:ind w:left="714" w:hanging="357"/>
        <w:jc w:val="both"/>
        <w:rPr>
          <w:rFonts w:ascii="Palatino Linotype" w:eastAsia="Times New Roman" w:hAnsi="Palatino Linotype" w:cs="Times New Roman"/>
          <w:sz w:val="20"/>
          <w:szCs w:val="20"/>
          <w:lang w:val="en-US"/>
        </w:rPr>
      </w:pPr>
      <w:r w:rsidRPr="00095192">
        <w:rPr>
          <w:rFonts w:ascii="Palatino Linotype" w:hAnsi="Palatino Linotype" w:cs="Times New Roman"/>
          <w:sz w:val="20"/>
          <w:szCs w:val="20"/>
          <w:lang w:val="en-US"/>
        </w:rPr>
        <w:t>S</w:t>
      </w:r>
      <w:r w:rsidRPr="00095192">
        <w:rPr>
          <w:rFonts w:ascii="Palatino Linotype" w:eastAsia="Times New Roman" w:hAnsi="Palatino Linotype" w:cs="Times New Roman"/>
          <w:sz w:val="20"/>
          <w:szCs w:val="20"/>
          <w:lang w:val="en-US"/>
        </w:rPr>
        <w:t xml:space="preserve">agittal Dixon imaging (echo times: 2.45/3.67ms, repetition time: 5.27ms, </w:t>
      </w:r>
      <w:r w:rsidRPr="00095192">
        <w:rPr>
          <w:rFonts w:ascii="Palatino Linotype" w:hAnsi="Palatino Linotype" w:cs="Times New Roman"/>
          <w:sz w:val="20"/>
          <w:szCs w:val="20"/>
          <w:lang w:val="en-US"/>
        </w:rPr>
        <w:t xml:space="preserve">number of slices: 20, slice </w:t>
      </w:r>
      <w:r w:rsidRPr="00095192">
        <w:rPr>
          <w:rFonts w:ascii="Palatino Linotype" w:eastAsia="Times New Roman" w:hAnsi="Palatino Linotype" w:cs="Times New Roman"/>
          <w:sz w:val="20"/>
          <w:szCs w:val="20"/>
          <w:lang w:val="en-US"/>
        </w:rPr>
        <w:t>thickness 3mm; interslice distance: 0mm, bandwidth: 500, field-of-view: 400x400mm, resolution: 0.833mm per pixel, acquisition time: 1min 20s). A Dixon technique with asymmetrical echoes (</w:t>
      </w:r>
      <w:proofErr w:type="spellStart"/>
      <w:r w:rsidRPr="00095192">
        <w:rPr>
          <w:rFonts w:ascii="Palatino Linotype" w:eastAsia="Times New Roman" w:hAnsi="Palatino Linotype" w:cs="Times New Roman"/>
          <w:sz w:val="20"/>
          <w:szCs w:val="20"/>
          <w:lang w:val="en-US"/>
        </w:rPr>
        <w:t>mDIXON</w:t>
      </w:r>
      <w:proofErr w:type="spellEnd"/>
      <w:r w:rsidRPr="00095192">
        <w:rPr>
          <w:rFonts w:ascii="Palatino Linotype" w:eastAsia="Times New Roman" w:hAnsi="Palatino Linotype" w:cs="Times New Roman"/>
          <w:sz w:val="20"/>
          <w:szCs w:val="20"/>
          <w:lang w:val="en-US"/>
        </w:rPr>
        <w:t>) was utilized [1</w:t>
      </w:r>
      <w:r w:rsidR="00B034D4">
        <w:rPr>
          <w:rFonts w:ascii="Palatino Linotype" w:eastAsia="Times New Roman" w:hAnsi="Palatino Linotype" w:cs="Times New Roman"/>
          <w:sz w:val="20"/>
          <w:szCs w:val="20"/>
          <w:lang w:val="en-US"/>
        </w:rPr>
        <w:t>6</w:t>
      </w:r>
      <w:r w:rsidRPr="00095192">
        <w:rPr>
          <w:rFonts w:ascii="Palatino Linotype" w:eastAsia="Times New Roman" w:hAnsi="Palatino Linotype" w:cs="Times New Roman"/>
          <w:sz w:val="20"/>
          <w:szCs w:val="20"/>
          <w:lang w:val="en-US"/>
        </w:rPr>
        <w:t xml:space="preserve">]. </w:t>
      </w:r>
    </w:p>
    <w:p w14:paraId="38C62C35" w14:textId="77777777" w:rsidR="00156BCB" w:rsidRPr="00095192" w:rsidRDefault="00156BCB" w:rsidP="00095192">
      <w:pPr>
        <w:pStyle w:val="MDPI22heading2"/>
      </w:pPr>
      <w:r w:rsidRPr="00095192">
        <w:t>Image analysis</w:t>
      </w:r>
    </w:p>
    <w:p w14:paraId="259AB650" w14:textId="77777777" w:rsidR="00156BCB" w:rsidRPr="00095192" w:rsidRDefault="00156BCB" w:rsidP="00095192">
      <w:pPr>
        <w:pStyle w:val="MDPI31text"/>
      </w:pPr>
      <w:r w:rsidRPr="00095192">
        <w:t xml:space="preserve">To ensure blinding of the examiner in offline image measurements, each subject was assigned a random numeric code (obtained from </w:t>
      </w:r>
      <w:hyperlink r:id="rId8" w:history="1">
        <w:r w:rsidRPr="006C7D99">
          <w:rPr>
            <w:rStyle w:val="Hyperlnk"/>
            <w:szCs w:val="20"/>
          </w:rPr>
          <w:t>www.random.org</w:t>
        </w:r>
      </w:hyperlink>
      <w:r w:rsidRPr="00095192">
        <w:t xml:space="preserve">). A radiologist determined the Pfirrmann grade of each lumbar IVD using the T2w images. All Pfirrmann grades except Pfirrmann grade 5 IVDs were observed in the cohort (Table 2). An off-line software (ImageJ 1.38x (http://rsb.info.nih.gov/ij/) was used to perform all quantitative MR measurements. A custom written ImageJ plugin (“ROI Analyzer”; </w:t>
      </w:r>
      <w:hyperlink r:id="rId9" w:history="1">
        <w:r w:rsidRPr="006C7D99">
          <w:rPr>
            <w:rStyle w:val="Hyperlnk"/>
            <w:szCs w:val="20"/>
          </w:rPr>
          <w:t>https://github.com/tjrantal/RoiAnalyzer</w:t>
        </w:r>
      </w:hyperlink>
      <w:r w:rsidRPr="006C7D99">
        <w:rPr>
          <w:rStyle w:val="Hyperlnk"/>
          <w:szCs w:val="20"/>
        </w:rPr>
        <w:t xml:space="preserve"> https://sites.google.com/site/daniellbelavy/home/roianalyser</w:t>
      </w:r>
      <w:r w:rsidRPr="00095192">
        <w:t xml:space="preserve">) was used to implement the IVD measurements after manual segmentation of the IVD using the native “polygon selections” tool in ImageJ. </w:t>
      </w:r>
    </w:p>
    <w:p w14:paraId="3B50DDD3" w14:textId="3C3FA6D8" w:rsidR="00156BCB" w:rsidRPr="00AB2CEE" w:rsidRDefault="00156BCB" w:rsidP="00095192">
      <w:pPr>
        <w:pStyle w:val="MDPI31text"/>
      </w:pPr>
      <w:r w:rsidRPr="00095192">
        <w:t xml:space="preserve">IVD T11/12 to L5/S1 were included in the analysis. Supernumerary lumbar IVDs (L6/S1; eight individuals) were excluded. One hypoplastic L5/S1 IVD at a </w:t>
      </w:r>
      <w:proofErr w:type="spellStart"/>
      <w:r w:rsidRPr="00095192">
        <w:t>sacralised</w:t>
      </w:r>
      <w:proofErr w:type="spellEnd"/>
      <w:r w:rsidRPr="00095192">
        <w:t xml:space="preserve"> L5 vertebral level was included in analysis. The image number corresponding to each </w:t>
      </w:r>
      <w:r w:rsidRPr="00AB2CEE">
        <w:t>vertebral and IVD level was noted. IVDs were segmented in five subregions from the anterior to posterior aspect of the disc</w:t>
      </w:r>
      <w:r w:rsidR="00362B85" w:rsidRPr="00AB2CEE">
        <w:t xml:space="preserve"> (Figure 1)</w:t>
      </w:r>
      <w:r w:rsidRPr="00AB2CEE">
        <w:t xml:space="preserve"> </w:t>
      </w:r>
      <w:r w:rsidRPr="00AB2CEE">
        <w:fldChar w:fldCharType="begin"/>
      </w:r>
      <w:r w:rsidRPr="00AB2CEE">
        <w:instrText xml:space="preserve"> ADDIN ZOTERO_ITEM CSL_CITATION {"citationID":"ZGcbnxcO","properties":{"formattedCitation":"\\super 15,16,18\\nosupersub{}","plainCitation":"15,16,18","noteIndex":0},"citationItems":[{"id":2202,"uris":["http://zotero.org/users/212464/items/EUEJKMHV"],"uri":["http://zotero.org/users/212464/items/EUEJKMHV"],"itemData":{"id":2202,"type":"article-journal","title":"Running exercise strengthens the intervertebral disc","container-title":"Scientific Reports","page":"45975","volume":"7","source":"CrossRef","DOI":"10.1038/srep45975","ISSN":"2045-2322","journalAbbreviation":"Sci Rep","author":[{"family":"Belavý","given":"Daniel L."},{"family":"Quittner","given":"Matthew J."},{"family":"Ridgers","given":"Nicola"},{"family":"Ling","given":"Yuan"},{"family":"Connell","given":"David"},{"family":"Rantalainen","given":"Timo"}],"issued":{"date-parts":[["2017",4,19]]}}},{"id":5328,"uris":["http://zotero.org/users/212464/items/VRBQXYJK"],"uri":["http://zotero.org/users/212464/items/VRBQXYJK"],"itemData":{"id":5328,"type":"article-journal","title":"Beneficial intervertebral disc and muscle adaptations in high-volume road cyclists","container-title":"Medicine and Science in Sports and Exercise","page":"211-217","volume":"51","issue":"1","source":"PubMed","abstract":"PURPOSE: Cycling is widely practiced as a mode of transportation, a leisurely pursuit and a competitive sport. Approximately half of cyclists experience low back pain. Yet, there has been limited study of spine tissue adaptations due to cycling.\nMETHODS: To investigate potential risk factors for spinal pain, we compared 18 high-volume cyclists (&gt;150 km per week for ≥5 years) to 18 height-matched non-sporting referents. Participants had no history of spinal pathology. Magnetic resonance imaging was used to quantify intervertebral disc (IVD) morphology and hydration; and psoas, erector spinae, quadratus lumborum and multifidus muscle size and fat content. Endurance of trunk muscles (flexors and extensors) were measured and physical activity levels assessed objectively using accelerometry.\nRESULTS: Cyclists IVD showed prolonged T2-time (+10.0(17.3)%; p=0.021), implying better IVD hydration and glycosaminoglycan content, compared to referents. Lower thoracic and upper lumbar IVD T2 time were longer in cyclists (p≤0.029) but not at the lower lumbar spine. T2-time differences were larger in the nucleus pulposus compared to the annulus fibrosus. Cyclists showed larger psoas muscles with less fat content compared to referents. Cyclists also exhibited longer isometric trunk endurance times (p≤0.036) and higher physical activity levels (osteogenic index, p=0.038).CONCLUSIONDespite previous studies reporting higher than average prevalence of back pain in cyclists, the high-volume road cyclists in our cohort showed no anatomical or functional deficiency in spinal structures. In contrast, we found evidence for beneficial adaptations to the intervertebral discs and psoas muscles in high-volume cyclists compared to referents. These data support the notion that cycling is not detrimental to the spine; rather, in contrast, may be associated with beneficial changes at the spine.","DOI":"10.1249/MSS.0000000000001770","ISSN":"1530-0315","note":"PMID: 30157104","journalAbbreviation":"Med Sci Sports Exerc","language":"eng","author":[{"family":"Belavy","given":"Daniel L."},{"family":"Quittner","given":"Matthew"},{"family":"Ridgers","given":"Nicola D."},{"family":"Ling","given":"Yuan"},{"family":"Connell","given":"David"},{"family":"Trudel","given":"Guy"},{"family":"Rantalainen","given":"Timo"}],"issued":{"date-parts":[["2019"]]}}},{"id":2162,"uris":["http://zotero.org/users/212464/items/QAIFKDT4"],"uri":["http://zotero.org/users/212464/items/QAIFKDT4"],"itemData":{"id":2162,"type":"article-journal","title":"Cervical and thoracic intervertebral disc hydration increases with recumbency. A study in 101 healthy volunteers.","container-title":"The Spine Journal","page":"in press","source":"CrossRef","DOI":"10.1016/j.spinee.2017.06.006","journalAbbreviation":"Spine J","author":[{"family":"Belavý","given":"Daniel L."},{"family":"Quittner","given":"Matthew J."},{"family":"Ling","given":"Yuan"},{"family":"Connell","given":"David"},{"family":"Rantalainen","given":"Timo"}],"issued":{"date-parts":[["2018"]]}}}],"schema":"https://github.com/citation-style-language/schema/raw/master/csl-citation.json"} </w:instrText>
      </w:r>
      <w:r w:rsidRPr="00AB2CEE">
        <w:fldChar w:fldCharType="separate"/>
      </w:r>
      <w:r w:rsidRPr="00AB2CEE">
        <w:rPr>
          <w:vertAlign w:val="superscript"/>
        </w:rPr>
        <w:t>15,16,18</w:t>
      </w:r>
      <w:r w:rsidRPr="00AB2CEE">
        <w:fldChar w:fldCharType="end"/>
      </w:r>
      <w:r w:rsidRPr="00AB2CEE">
        <w:t>. Then, a custom written plugin measured the signal intensity of the whole IVD as well as the 5 subregions.</w:t>
      </w:r>
    </w:p>
    <w:p w14:paraId="285ABB6D" w14:textId="77777777" w:rsidR="00156BCB" w:rsidRPr="00AB2CEE" w:rsidRDefault="00156BCB" w:rsidP="00095192">
      <w:pPr>
        <w:pStyle w:val="MDPI31text"/>
      </w:pPr>
      <w:r w:rsidRPr="00AB2CEE">
        <w:t>Depending on the MRI technique, the following calculations were performed:</w:t>
      </w:r>
    </w:p>
    <w:p w14:paraId="3BD4FAEC" w14:textId="77777777" w:rsidR="00156BCB" w:rsidRPr="00AB2CEE" w:rsidRDefault="00156BCB" w:rsidP="00095192">
      <w:pPr>
        <w:pStyle w:val="Liststycke"/>
        <w:numPr>
          <w:ilvl w:val="0"/>
          <w:numId w:val="37"/>
        </w:numPr>
        <w:adjustRightInd w:val="0"/>
        <w:snapToGrid w:val="0"/>
        <w:spacing w:after="0" w:line="260" w:lineRule="atLeast"/>
        <w:ind w:left="714" w:hanging="357"/>
        <w:jc w:val="both"/>
        <w:rPr>
          <w:rFonts w:ascii="Palatino Linotype" w:eastAsia="Times New Roman" w:hAnsi="Palatino Linotype" w:cs="Times New Roman"/>
          <w:sz w:val="20"/>
          <w:szCs w:val="20"/>
          <w:lang w:val="en-US"/>
        </w:rPr>
      </w:pPr>
      <w:r w:rsidRPr="00AB2CEE">
        <w:rPr>
          <w:rFonts w:ascii="Palatino Linotype" w:hAnsi="Palatino Linotype" w:cs="Times New Roman"/>
          <w:sz w:val="20"/>
          <w:szCs w:val="20"/>
          <w:lang w:val="en-US"/>
        </w:rPr>
        <w:t xml:space="preserve">T2-mapping: </w:t>
      </w:r>
      <w:bookmarkStart w:id="11" w:name="_Hlk41233060"/>
      <w:r w:rsidRPr="00AB2CEE">
        <w:rPr>
          <w:rFonts w:ascii="Palatino Linotype" w:hAnsi="Palatino Linotype" w:cs="Times New Roman"/>
          <w:sz w:val="20"/>
          <w:szCs w:val="20"/>
          <w:lang w:val="en-US"/>
        </w:rPr>
        <w:t>To reconstruct T2-map</w:t>
      </w:r>
      <w:r w:rsidR="00CC5559" w:rsidRPr="00AB2CEE">
        <w:rPr>
          <w:rFonts w:ascii="Palatino Linotype" w:hAnsi="Palatino Linotype" w:cs="Times New Roman"/>
          <w:sz w:val="20"/>
          <w:szCs w:val="20"/>
          <w:lang w:val="en-US"/>
        </w:rPr>
        <w:t>s</w:t>
      </w:r>
      <w:bookmarkEnd w:id="11"/>
      <w:r w:rsidRPr="00AB2CEE">
        <w:rPr>
          <w:rFonts w:ascii="Palatino Linotype" w:hAnsi="Palatino Linotype" w:cs="Times New Roman"/>
          <w:sz w:val="20"/>
          <w:szCs w:val="20"/>
          <w:lang w:val="en-US"/>
        </w:rPr>
        <w:t xml:space="preserve">, the T2-time in each pixel was calculated from the spin-echo multi-echo images using a linear fit to the natural logarithm of the image intensity in each of the eight MR echoes. </w:t>
      </w:r>
    </w:p>
    <w:p w14:paraId="74AAFDA8" w14:textId="77777777" w:rsidR="00156BCB" w:rsidRPr="00095192" w:rsidRDefault="00156BCB" w:rsidP="00095192">
      <w:pPr>
        <w:pStyle w:val="Liststycke"/>
        <w:numPr>
          <w:ilvl w:val="0"/>
          <w:numId w:val="37"/>
        </w:numPr>
        <w:adjustRightInd w:val="0"/>
        <w:snapToGrid w:val="0"/>
        <w:spacing w:after="0" w:line="260" w:lineRule="atLeast"/>
        <w:ind w:left="714" w:hanging="357"/>
        <w:jc w:val="both"/>
        <w:rPr>
          <w:rFonts w:ascii="Palatino Linotype" w:eastAsia="Times New Roman" w:hAnsi="Palatino Linotype" w:cs="Times New Roman"/>
          <w:sz w:val="20"/>
          <w:szCs w:val="20"/>
          <w:lang w:val="en-US"/>
        </w:rPr>
      </w:pPr>
      <w:r w:rsidRPr="00AB2CEE">
        <w:rPr>
          <w:rFonts w:ascii="Palatino Linotype" w:eastAsia="Times New Roman" w:hAnsi="Palatino Linotype" w:cs="Times New Roman"/>
          <w:sz w:val="20"/>
          <w:szCs w:val="20"/>
          <w:lang w:val="en-US"/>
        </w:rPr>
        <w:t>T2w imaging: For normalization, the ratio of the average T2w signal intensity</w:t>
      </w:r>
      <w:r w:rsidRPr="00095192">
        <w:rPr>
          <w:rFonts w:ascii="Palatino Linotype" w:eastAsia="Times New Roman" w:hAnsi="Palatino Linotype" w:cs="Times New Roman"/>
          <w:sz w:val="20"/>
          <w:szCs w:val="20"/>
          <w:lang w:val="en-US"/>
        </w:rPr>
        <w:t xml:space="preserve"> (T2w-SI) in the nucleus to the average T2w-SI in the anterior and posterior subregions (annulus) was calculated.</w:t>
      </w:r>
    </w:p>
    <w:p w14:paraId="5ED212A3" w14:textId="5B97F9CC" w:rsidR="00156BCB" w:rsidRPr="00095192" w:rsidRDefault="00156BCB" w:rsidP="00095192">
      <w:pPr>
        <w:pStyle w:val="Liststycke"/>
        <w:numPr>
          <w:ilvl w:val="0"/>
          <w:numId w:val="37"/>
        </w:numPr>
        <w:adjustRightInd w:val="0"/>
        <w:snapToGrid w:val="0"/>
        <w:spacing w:after="0" w:line="260" w:lineRule="atLeast"/>
        <w:ind w:left="714" w:hanging="357"/>
        <w:jc w:val="both"/>
        <w:rPr>
          <w:rFonts w:ascii="Palatino Linotype" w:eastAsia="Times New Roman" w:hAnsi="Palatino Linotype" w:cs="Times New Roman"/>
          <w:sz w:val="20"/>
          <w:szCs w:val="20"/>
          <w:lang w:val="en-US"/>
        </w:rPr>
      </w:pPr>
      <w:r w:rsidRPr="00095192">
        <w:rPr>
          <w:rFonts w:ascii="Palatino Linotype" w:hAnsi="Palatino Linotype" w:cs="Times New Roman"/>
          <w:sz w:val="20"/>
          <w:szCs w:val="20"/>
          <w:lang w:val="en-US"/>
        </w:rPr>
        <w:t>Dixon imaging: A</w:t>
      </w:r>
      <w:r w:rsidRPr="00095192">
        <w:rPr>
          <w:rFonts w:ascii="Palatino Linotype" w:eastAsia="Times New Roman" w:hAnsi="Palatino Linotype" w:cs="Times New Roman"/>
          <w:sz w:val="20"/>
          <w:szCs w:val="20"/>
          <w:lang w:val="en-US"/>
        </w:rPr>
        <w:t>n iterative algorithm with least-squares estimation was used to maximize the noise performance of the water signal [1</w:t>
      </w:r>
      <w:r w:rsidR="00B034D4">
        <w:rPr>
          <w:rFonts w:ascii="Palatino Linotype" w:eastAsia="Times New Roman" w:hAnsi="Palatino Linotype" w:cs="Times New Roman"/>
          <w:sz w:val="20"/>
          <w:szCs w:val="20"/>
          <w:lang w:val="en-US"/>
        </w:rPr>
        <w:t>6</w:t>
      </w:r>
      <w:r w:rsidRPr="00095192">
        <w:rPr>
          <w:rFonts w:ascii="Palatino Linotype" w:eastAsia="Times New Roman" w:hAnsi="Palatino Linotype" w:cs="Times New Roman"/>
          <w:sz w:val="20"/>
          <w:szCs w:val="20"/>
          <w:lang w:val="en-US"/>
        </w:rPr>
        <w:t xml:space="preserve">]. </w:t>
      </w:r>
    </w:p>
    <w:p w14:paraId="3C21D3C0" w14:textId="4D4000F4" w:rsidR="00156BCB" w:rsidRPr="00095192" w:rsidRDefault="00156BCB" w:rsidP="00095192">
      <w:pPr>
        <w:pStyle w:val="MDPI31text"/>
      </w:pPr>
      <w:r w:rsidRPr="00095192">
        <w:t xml:space="preserve">Detailed analysis of all MR images was then performed. In addition to mean values of the whole IVD, values of the nucleus sub-region and values of the ratio of the nuclear subregion to anterior and to posterior subregions (ratio nucleus/annulus) were determined for all techniques using the central </w:t>
      </w:r>
      <w:r w:rsidRPr="00095192">
        <w:lastRenderedPageBreak/>
        <w:t>three sagittal slices to capture the central (most hydrated) region of the nucleus and to be comparable to prior works [</w:t>
      </w:r>
      <w:r w:rsidR="00B034D4">
        <w:t>11</w:t>
      </w:r>
      <w:r w:rsidRPr="00095192">
        <w:t>; 1</w:t>
      </w:r>
      <w:r w:rsidR="00B034D4">
        <w:t>2</w:t>
      </w:r>
      <w:r w:rsidRPr="00095192">
        <w:t>].</w:t>
      </w:r>
    </w:p>
    <w:p w14:paraId="78C55319" w14:textId="37B2FDD0" w:rsidR="00095192" w:rsidRDefault="00156BCB" w:rsidP="00095192">
      <w:pPr>
        <w:pStyle w:val="MDPI31text"/>
      </w:pPr>
      <w:r w:rsidRPr="00095192">
        <w:t xml:space="preserve">Moreover, three-dimensional (3D) plots of the IVD were generated for all MRI techniques (Figure </w:t>
      </w:r>
      <w:r w:rsidR="0041647D">
        <w:t>3</w:t>
      </w:r>
      <w:r w:rsidRPr="00095192">
        <w:t xml:space="preserve">). To generate the plots, the pre-processed data for the T2-mapping T2w imaging and Dixon imaging were interpolated across the width of the IVD in each subregion. </w:t>
      </w:r>
    </w:p>
    <w:p w14:paraId="472C9503" w14:textId="6554A0CC" w:rsidR="00362B85" w:rsidRDefault="00362B85" w:rsidP="00095192">
      <w:pPr>
        <w:pStyle w:val="MDPI31text"/>
      </w:pPr>
    </w:p>
    <w:p w14:paraId="7AA99443" w14:textId="3216A40D" w:rsidR="00362B85" w:rsidRDefault="00362B85" w:rsidP="00095192">
      <w:pPr>
        <w:pStyle w:val="MDPI31text"/>
      </w:pPr>
      <w:r>
        <w:rPr>
          <w:noProof/>
          <w:lang w:eastAsia="zh-CN" w:bidi="ar-SA"/>
        </w:rPr>
        <w:drawing>
          <wp:inline distT="0" distB="0" distL="0" distR="0" wp14:anchorId="4E92ECFD" wp14:editId="54D18F53">
            <wp:extent cx="2978150" cy="2901950"/>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78150" cy="2901950"/>
                    </a:xfrm>
                    <a:prstGeom prst="rect">
                      <a:avLst/>
                    </a:prstGeom>
                    <a:noFill/>
                    <a:ln>
                      <a:noFill/>
                    </a:ln>
                  </pic:spPr>
                </pic:pic>
              </a:graphicData>
            </a:graphic>
          </wp:inline>
        </w:drawing>
      </w:r>
    </w:p>
    <w:p w14:paraId="29A054E0" w14:textId="353D7FEF" w:rsidR="00362B85" w:rsidRPr="00AB2CEE" w:rsidRDefault="00362B85" w:rsidP="00813374">
      <w:pPr>
        <w:pStyle w:val="MDPI51figurecaption"/>
      </w:pPr>
      <w:r w:rsidRPr="00AB2CEE">
        <w:rPr>
          <w:b/>
          <w:bCs/>
        </w:rPr>
        <w:t xml:space="preserve">Figure 1. </w:t>
      </w:r>
      <w:r w:rsidRPr="00AB2CEE">
        <w:t xml:space="preserve">Graphical </w:t>
      </w:r>
      <w:r w:rsidR="00F12BED" w:rsidRPr="00AB2CEE">
        <w:t>illustration</w:t>
      </w:r>
      <w:r w:rsidRPr="00AB2CEE">
        <w:t xml:space="preserve"> of the </w:t>
      </w:r>
      <w:r w:rsidR="00F12BED" w:rsidRPr="00AB2CEE">
        <w:t xml:space="preserve">segmentation of the IVD into five subregions from </w:t>
      </w:r>
      <w:r w:rsidR="00813374" w:rsidRPr="00AB2CEE">
        <w:t xml:space="preserve">(1) </w:t>
      </w:r>
      <w:r w:rsidR="00F12BED" w:rsidRPr="00AB2CEE">
        <w:t>anterior</w:t>
      </w:r>
      <w:r w:rsidR="00813374" w:rsidRPr="00AB2CEE">
        <w:t xml:space="preserve"> </w:t>
      </w:r>
      <w:r w:rsidR="00F12BED" w:rsidRPr="00AB2CEE">
        <w:t xml:space="preserve">to </w:t>
      </w:r>
      <w:r w:rsidR="00813374" w:rsidRPr="00AB2CEE">
        <w:t xml:space="preserve">(5) </w:t>
      </w:r>
      <w:r w:rsidR="00F12BED" w:rsidRPr="00AB2CEE">
        <w:t>posterior</w:t>
      </w:r>
      <w:r w:rsidR="00813374" w:rsidRPr="00AB2CEE">
        <w:t xml:space="preserve"> </w:t>
      </w:r>
      <w:r w:rsidR="00F12BED" w:rsidRPr="00AB2CEE">
        <w:t>aspect of the disc.</w:t>
      </w:r>
    </w:p>
    <w:p w14:paraId="4511EAEE" w14:textId="77777777" w:rsidR="00156BCB" w:rsidRPr="00AB2CEE" w:rsidRDefault="00156BCB" w:rsidP="00095192">
      <w:pPr>
        <w:pStyle w:val="MDPI22heading2"/>
      </w:pPr>
      <w:r w:rsidRPr="00AB2CEE">
        <w:t>Statistical analyses</w:t>
      </w:r>
    </w:p>
    <w:p w14:paraId="5B6E883F" w14:textId="77777777" w:rsidR="00156BCB" w:rsidRPr="00AB2CEE" w:rsidRDefault="00156BCB" w:rsidP="00095192">
      <w:pPr>
        <w:pStyle w:val="MDPI31text"/>
      </w:pPr>
      <w:r w:rsidRPr="00AB2CEE">
        <w:t xml:space="preserve">To examine the sensitivity of each MRI technique to differentiate between IVD characteristics in people with distinct training histories, IVD variables in each athletic group were compared to the sedentary referent group using unpaired t-tests. </w:t>
      </w:r>
      <w:bookmarkStart w:id="12" w:name="_Hlk41236562"/>
      <w:r w:rsidR="00EC56E6" w:rsidRPr="00AB2CEE">
        <w:t>Sub-analys</w:t>
      </w:r>
      <w:r w:rsidR="00F30ED1" w:rsidRPr="00AB2CEE">
        <w:t>is</w:t>
      </w:r>
      <w:r w:rsidR="00EC56E6" w:rsidRPr="00AB2CEE">
        <w:t xml:space="preserve"> w</w:t>
      </w:r>
      <w:r w:rsidR="00F30ED1" w:rsidRPr="00AB2CEE">
        <w:t>as</w:t>
      </w:r>
      <w:r w:rsidR="00EC56E6" w:rsidRPr="00AB2CEE">
        <w:t xml:space="preserve"> also performed t</w:t>
      </w:r>
      <w:r w:rsidRPr="00AB2CEE">
        <w:t xml:space="preserve">o examine covariation of </w:t>
      </w:r>
      <w:r w:rsidR="00EC56E6" w:rsidRPr="00AB2CEE">
        <w:t>the</w:t>
      </w:r>
      <w:r w:rsidRPr="00AB2CEE">
        <w:t xml:space="preserve"> MRI technique</w:t>
      </w:r>
      <w:r w:rsidR="00EC56E6" w:rsidRPr="00AB2CEE">
        <w:t>s</w:t>
      </w:r>
      <w:r w:rsidRPr="00AB2CEE">
        <w:t>, Pearson's product moment correlation between each variable was calculated</w:t>
      </w:r>
      <w:bookmarkEnd w:id="12"/>
      <w:r w:rsidRPr="00AB2CEE">
        <w:t xml:space="preserve">. </w:t>
      </w:r>
      <w:r w:rsidR="00EC56E6" w:rsidRPr="00AB2CEE">
        <w:t>Also</w:t>
      </w:r>
      <w:r w:rsidRPr="00AB2CEE">
        <w:t xml:space="preserve">, unpaired t-tests were used to examine the difference in variables obtained from each MRI technique on Pfirrmann grades 2, 3 and 4 IVDs compared to the Pfirrmann grade 1 IVDs. </w:t>
      </w:r>
    </w:p>
    <w:p w14:paraId="3A6DC648" w14:textId="77777777" w:rsidR="00156BCB" w:rsidRPr="00AB2CEE" w:rsidRDefault="00156BCB" w:rsidP="00095192">
      <w:pPr>
        <w:pStyle w:val="MDPI31text"/>
      </w:pPr>
      <w:r w:rsidRPr="00AB2CEE">
        <w:t xml:space="preserve">An </w:t>
      </w:r>
      <w:proofErr w:type="gramStart"/>
      <w:r w:rsidRPr="00AB2CEE">
        <w:t>alpha-level</w:t>
      </w:r>
      <w:proofErr w:type="gramEnd"/>
      <w:r w:rsidRPr="00AB2CEE">
        <w:t xml:space="preserve"> of 0.05 was considered statistically significance. The “R” statistical environment (version 2.10.1, </w:t>
      </w:r>
      <w:hyperlink r:id="rId11" w:history="1">
        <w:r w:rsidRPr="00AB2CEE">
          <w:rPr>
            <w:rStyle w:val="Hyperlnk"/>
            <w:sz w:val="24"/>
            <w:szCs w:val="24"/>
          </w:rPr>
          <w:t>www.r-project.org</w:t>
        </w:r>
      </w:hyperlink>
      <w:r w:rsidRPr="00AB2CEE">
        <w:t>) was used for all analyses.</w:t>
      </w:r>
    </w:p>
    <w:p w14:paraId="205C997E" w14:textId="77777777" w:rsidR="00156BCB" w:rsidRPr="00095192" w:rsidRDefault="00156BCB" w:rsidP="00095192">
      <w:pPr>
        <w:pStyle w:val="MDPI21heading1"/>
      </w:pPr>
      <w:r w:rsidRPr="00AB2CEE">
        <w:t>RESULTS</w:t>
      </w:r>
    </w:p>
    <w:p w14:paraId="1B792861" w14:textId="77777777" w:rsidR="00156BCB" w:rsidRPr="00095192" w:rsidRDefault="00156BCB" w:rsidP="00095192">
      <w:pPr>
        <w:pStyle w:val="MDPI22heading2"/>
      </w:pPr>
      <w:r w:rsidRPr="00095192">
        <w:t>The T2-mapping and T2w imaging techniques</w:t>
      </w:r>
    </w:p>
    <w:p w14:paraId="120ECE28" w14:textId="1BA79104" w:rsidR="00156BCB" w:rsidRPr="00095192" w:rsidRDefault="00156BCB" w:rsidP="00095192">
      <w:pPr>
        <w:pStyle w:val="MDPI31text"/>
      </w:pPr>
      <w:r w:rsidRPr="00095192">
        <w:t>As previously reported [</w:t>
      </w:r>
      <w:r w:rsidR="006C7779">
        <w:t>9</w:t>
      </w:r>
      <w:r w:rsidRPr="00095192">
        <w:t xml:space="preserve">; </w:t>
      </w:r>
      <w:r w:rsidR="006C7779">
        <w:t>10</w:t>
      </w:r>
      <w:r w:rsidRPr="00095192">
        <w:t>]</w:t>
      </w:r>
      <w:r w:rsidR="0041647D">
        <w:t>,</w:t>
      </w:r>
      <w:r w:rsidRPr="00095192">
        <w:t xml:space="preserve"> the T2-time by T2-mapping of the whole IVD and nucleus as well as the nucleus/annulus ratio distinguished between various participants’ training histories</w:t>
      </w:r>
      <w:r w:rsidR="0041647D">
        <w:t xml:space="preserve"> </w:t>
      </w:r>
      <w:r w:rsidR="0041647D" w:rsidRPr="00095192">
        <w:t>(Table 1</w:t>
      </w:r>
      <w:r w:rsidR="0041647D">
        <w:t>; Figure 2</w:t>
      </w:r>
      <w:r w:rsidR="0041647D" w:rsidRPr="00095192">
        <w:t>)</w:t>
      </w:r>
      <w:r w:rsidRPr="00095192">
        <w:t xml:space="preserve">. These subtle differences between groups were not found with T2w imaging. The T2-mapping and T2w imaging techniques displayed large regional differences over the IVDs, with higher values </w:t>
      </w:r>
      <w:proofErr w:type="spellStart"/>
      <w:r w:rsidRPr="00095192">
        <w:t>centred</w:t>
      </w:r>
      <w:proofErr w:type="spellEnd"/>
      <w:r w:rsidRPr="00095192">
        <w:t xml:space="preserve"> at the nucleus (Figure </w:t>
      </w:r>
      <w:r w:rsidR="00E826A9">
        <w:t>3</w:t>
      </w:r>
      <w:r w:rsidRPr="00095192">
        <w:t>). The T2-time and T2w-SI of the whole IVD and nucleus were decreased for Pfirrmann grades 2, 3 and 4 in comparison with grade 1 (Table 2</w:t>
      </w:r>
      <w:r w:rsidR="00E826A9">
        <w:t>; Figure 4</w:t>
      </w:r>
      <w:r w:rsidRPr="00095192">
        <w:t>). The nucleus/annulus ratio was also decreased in grades 2, 3 and 4 for the T2-time, but only in the higher Pfirrmann grades, 3 and 4, for T2w-SI (Table 2</w:t>
      </w:r>
      <w:r w:rsidR="00E826A9">
        <w:t>; Figure 4</w:t>
      </w:r>
      <w:r w:rsidRPr="00095192">
        <w:t>).</w:t>
      </w:r>
    </w:p>
    <w:p w14:paraId="5D07A1DB" w14:textId="7F282311" w:rsidR="00895E1F" w:rsidRPr="00095192" w:rsidRDefault="00095192" w:rsidP="00895E1F">
      <w:pPr>
        <w:pStyle w:val="MDPI41tablecaption"/>
        <w:jc w:val="center"/>
      </w:pPr>
      <w:r w:rsidRPr="00095192">
        <w:rPr>
          <w:b/>
          <w:bCs/>
        </w:rPr>
        <w:t xml:space="preserve">Table 1. </w:t>
      </w:r>
      <w:r w:rsidR="00156BCB" w:rsidRPr="00095192">
        <w:t>Differences between T2-mapping, T2w</w:t>
      </w:r>
      <w:r w:rsidR="0041647D">
        <w:t xml:space="preserve"> imaging</w:t>
      </w:r>
      <w:r w:rsidR="00156BCB" w:rsidRPr="00095192">
        <w:t xml:space="preserve"> and Dixon </w:t>
      </w:r>
      <w:r w:rsidR="0041647D">
        <w:t xml:space="preserve">imaging </w:t>
      </w:r>
      <w:r w:rsidR="00156BCB" w:rsidRPr="00095192">
        <w:t xml:space="preserve">according to </w:t>
      </w:r>
      <w:bookmarkStart w:id="13" w:name="_Hlk42340856"/>
      <w:r w:rsidR="00156BCB" w:rsidRPr="00095192">
        <w:t>physical activity histories</w:t>
      </w:r>
      <w:bookmarkEnd w:id="13"/>
      <w:r w:rsidR="0041647D">
        <w:t>.</w:t>
      </w:r>
    </w:p>
    <w:tbl>
      <w:tblPr>
        <w:tblStyle w:val="Thesis"/>
        <w:tblW w:w="5199" w:type="pct"/>
        <w:jc w:val="center"/>
        <w:tblLook w:val="04A0" w:firstRow="1" w:lastRow="0" w:firstColumn="1" w:lastColumn="0" w:noHBand="0" w:noVBand="1"/>
      </w:tblPr>
      <w:tblGrid>
        <w:gridCol w:w="1845"/>
        <w:gridCol w:w="1477"/>
        <w:gridCol w:w="2207"/>
        <w:gridCol w:w="1984"/>
        <w:gridCol w:w="1683"/>
      </w:tblGrid>
      <w:tr w:rsidR="00835833" w:rsidRPr="00095192" w14:paraId="2D128998" w14:textId="77777777" w:rsidTr="00897CDC">
        <w:trPr>
          <w:cnfStyle w:val="100000000000" w:firstRow="1" w:lastRow="0" w:firstColumn="0" w:lastColumn="0" w:oddVBand="0" w:evenVBand="0" w:oddHBand="0" w:evenHBand="0" w:firstRowFirstColumn="0" w:firstRowLastColumn="0" w:lastRowFirstColumn="0" w:lastRowLastColumn="0"/>
          <w:jc w:val="center"/>
        </w:trPr>
        <w:tc>
          <w:tcPr>
            <w:tcW w:w="1003" w:type="pct"/>
            <w:tcBorders>
              <w:top w:val="single" w:sz="8" w:space="0" w:color="auto"/>
              <w:bottom w:val="nil"/>
            </w:tcBorders>
            <w:shd w:val="clear" w:color="auto" w:fill="auto"/>
            <w:noWrap/>
            <w:hideMark/>
          </w:tcPr>
          <w:p w14:paraId="08D939C9" w14:textId="77777777" w:rsidR="00835833" w:rsidRPr="00095192" w:rsidRDefault="00835833" w:rsidP="00095192">
            <w:pPr>
              <w:autoSpaceDE w:val="0"/>
              <w:autoSpaceDN w:val="0"/>
              <w:adjustRightInd w:val="0"/>
              <w:snapToGrid w:val="0"/>
              <w:spacing w:after="0" w:line="240" w:lineRule="auto"/>
              <w:rPr>
                <w:rFonts w:ascii="Palatino Linotype" w:hAnsi="Palatino Linotype"/>
                <w:sz w:val="18"/>
                <w:szCs w:val="20"/>
                <w:lang w:val="en-US"/>
              </w:rPr>
            </w:pPr>
          </w:p>
        </w:tc>
        <w:tc>
          <w:tcPr>
            <w:tcW w:w="3997" w:type="pct"/>
            <w:gridSpan w:val="4"/>
            <w:tcBorders>
              <w:top w:val="single" w:sz="8" w:space="0" w:color="auto"/>
              <w:bottom w:val="single" w:sz="12" w:space="0" w:color="auto"/>
            </w:tcBorders>
            <w:shd w:val="clear" w:color="auto" w:fill="auto"/>
            <w:noWrap/>
            <w:hideMark/>
          </w:tcPr>
          <w:p w14:paraId="108A84BA" w14:textId="77777777" w:rsidR="00835833" w:rsidRPr="00095192" w:rsidRDefault="00835833" w:rsidP="00095192">
            <w:pPr>
              <w:autoSpaceDE w:val="0"/>
              <w:autoSpaceDN w:val="0"/>
              <w:adjustRightInd w:val="0"/>
              <w:snapToGrid w:val="0"/>
              <w:spacing w:after="0" w:line="240" w:lineRule="auto"/>
              <w:rPr>
                <w:rFonts w:ascii="Palatino Linotype" w:hAnsi="Palatino Linotype" w:cs="Times New Roman"/>
                <w:color w:val="000000" w:themeColor="text1"/>
                <w:sz w:val="18"/>
                <w:szCs w:val="20"/>
                <w:lang w:val="en-US"/>
              </w:rPr>
            </w:pPr>
            <w:r w:rsidRPr="00095192">
              <w:rPr>
                <w:rFonts w:ascii="Palatino Linotype" w:hAnsi="Palatino Linotype" w:cs="Times New Roman"/>
                <w:color w:val="000000"/>
                <w:sz w:val="18"/>
                <w:szCs w:val="20"/>
                <w:lang w:val="en-US"/>
              </w:rPr>
              <w:t>Participant group (number of IVDs)</w:t>
            </w:r>
          </w:p>
        </w:tc>
      </w:tr>
      <w:tr w:rsidR="00095192" w:rsidRPr="00095192" w14:paraId="32598B4F" w14:textId="77777777" w:rsidTr="00897CDC">
        <w:trPr>
          <w:jc w:val="center"/>
        </w:trPr>
        <w:tc>
          <w:tcPr>
            <w:tcW w:w="1003" w:type="pct"/>
            <w:tcBorders>
              <w:top w:val="nil"/>
              <w:left w:val="nil"/>
              <w:bottom w:val="single" w:sz="4" w:space="0" w:color="auto"/>
              <w:right w:val="nil"/>
            </w:tcBorders>
            <w:shd w:val="clear" w:color="auto" w:fill="auto"/>
          </w:tcPr>
          <w:p w14:paraId="3B3564A2" w14:textId="77777777" w:rsidR="00835833" w:rsidRPr="00095192" w:rsidRDefault="00835833" w:rsidP="00095192">
            <w:pPr>
              <w:autoSpaceDE w:val="0"/>
              <w:autoSpaceDN w:val="0"/>
              <w:adjustRightInd w:val="0"/>
              <w:snapToGrid w:val="0"/>
              <w:spacing w:after="0" w:line="240" w:lineRule="auto"/>
              <w:rPr>
                <w:rFonts w:ascii="Palatino Linotype" w:hAnsi="Palatino Linotype" w:cs="Times New Roman"/>
                <w:b/>
                <w:bCs/>
                <w:color w:val="000000"/>
                <w:sz w:val="18"/>
                <w:szCs w:val="20"/>
                <w:lang w:val="en-US"/>
              </w:rPr>
            </w:pPr>
          </w:p>
        </w:tc>
        <w:tc>
          <w:tcPr>
            <w:tcW w:w="0" w:type="auto"/>
            <w:tcBorders>
              <w:top w:val="single" w:sz="12" w:space="0" w:color="auto"/>
              <w:left w:val="nil"/>
              <w:bottom w:val="single" w:sz="4" w:space="0" w:color="auto"/>
              <w:right w:val="nil"/>
            </w:tcBorders>
            <w:shd w:val="clear" w:color="auto" w:fill="auto"/>
            <w:hideMark/>
          </w:tcPr>
          <w:p w14:paraId="0A628195" w14:textId="77777777" w:rsidR="00835833" w:rsidRPr="00095192" w:rsidRDefault="00835833" w:rsidP="00095192">
            <w:pPr>
              <w:autoSpaceDE w:val="0"/>
              <w:autoSpaceDN w:val="0"/>
              <w:adjustRightInd w:val="0"/>
              <w:snapToGrid w:val="0"/>
              <w:spacing w:after="0" w:line="240" w:lineRule="auto"/>
              <w:rPr>
                <w:rFonts w:ascii="Palatino Linotype" w:hAnsi="Palatino Linotype" w:cs="Times New Roman"/>
                <w:b/>
                <w:bCs/>
                <w:color w:val="000000" w:themeColor="text1"/>
                <w:sz w:val="18"/>
                <w:szCs w:val="20"/>
                <w:lang w:val="en-US"/>
              </w:rPr>
            </w:pPr>
            <w:r w:rsidRPr="00095192">
              <w:rPr>
                <w:rFonts w:ascii="Palatino Linotype" w:hAnsi="Palatino Linotype"/>
                <w:b/>
                <w:sz w:val="18"/>
                <w:szCs w:val="20"/>
                <w:lang w:val="en-US"/>
              </w:rPr>
              <w:t>Sedentary (n=144)</w:t>
            </w:r>
          </w:p>
        </w:tc>
        <w:tc>
          <w:tcPr>
            <w:tcW w:w="1200" w:type="pct"/>
            <w:tcBorders>
              <w:top w:val="single" w:sz="12" w:space="0" w:color="auto"/>
              <w:left w:val="nil"/>
              <w:bottom w:val="single" w:sz="4" w:space="0" w:color="auto"/>
              <w:right w:val="nil"/>
            </w:tcBorders>
            <w:shd w:val="clear" w:color="auto" w:fill="auto"/>
            <w:hideMark/>
          </w:tcPr>
          <w:p w14:paraId="0011E5BC" w14:textId="77777777" w:rsidR="00835833" w:rsidRPr="00095192" w:rsidRDefault="00835833" w:rsidP="00095192">
            <w:pPr>
              <w:autoSpaceDE w:val="0"/>
              <w:autoSpaceDN w:val="0"/>
              <w:adjustRightInd w:val="0"/>
              <w:snapToGrid w:val="0"/>
              <w:spacing w:after="0" w:line="240" w:lineRule="auto"/>
              <w:rPr>
                <w:rFonts w:ascii="Palatino Linotype" w:hAnsi="Palatino Linotype" w:cs="Times New Roman"/>
                <w:b/>
                <w:bCs/>
                <w:color w:val="000000" w:themeColor="text1"/>
                <w:sz w:val="18"/>
                <w:szCs w:val="20"/>
                <w:lang w:val="en-US"/>
              </w:rPr>
            </w:pPr>
            <w:r w:rsidRPr="00095192">
              <w:rPr>
                <w:rFonts w:ascii="Palatino Linotype" w:hAnsi="Palatino Linotype"/>
                <w:b/>
                <w:sz w:val="18"/>
                <w:szCs w:val="20"/>
                <w:lang w:val="en-US"/>
              </w:rPr>
              <w:t>High-volume cycling (n=132)</w:t>
            </w:r>
          </w:p>
        </w:tc>
        <w:tc>
          <w:tcPr>
            <w:tcW w:w="1079" w:type="pct"/>
            <w:tcBorders>
              <w:top w:val="single" w:sz="12" w:space="0" w:color="auto"/>
              <w:left w:val="nil"/>
              <w:bottom w:val="single" w:sz="12" w:space="0" w:color="auto"/>
              <w:right w:val="nil"/>
            </w:tcBorders>
            <w:shd w:val="clear" w:color="auto" w:fill="auto"/>
            <w:hideMark/>
          </w:tcPr>
          <w:p w14:paraId="49A6FE0A" w14:textId="77777777" w:rsidR="00835833" w:rsidRPr="00095192" w:rsidRDefault="00835833" w:rsidP="00095192">
            <w:pPr>
              <w:autoSpaceDE w:val="0"/>
              <w:autoSpaceDN w:val="0"/>
              <w:adjustRightInd w:val="0"/>
              <w:snapToGrid w:val="0"/>
              <w:spacing w:after="0" w:line="240" w:lineRule="auto"/>
              <w:rPr>
                <w:rFonts w:ascii="Palatino Linotype" w:hAnsi="Palatino Linotype" w:cs="Times New Roman"/>
                <w:b/>
                <w:bCs/>
                <w:color w:val="000000" w:themeColor="text1"/>
                <w:sz w:val="18"/>
                <w:szCs w:val="20"/>
                <w:lang w:val="en-US"/>
              </w:rPr>
            </w:pPr>
            <w:r w:rsidRPr="00095192">
              <w:rPr>
                <w:rFonts w:ascii="Palatino Linotype" w:hAnsi="Palatino Linotype"/>
                <w:b/>
                <w:sz w:val="18"/>
                <w:szCs w:val="20"/>
                <w:lang w:val="en-US"/>
              </w:rPr>
              <w:t>Running: 20-40km (n=180)</w:t>
            </w:r>
          </w:p>
        </w:tc>
        <w:tc>
          <w:tcPr>
            <w:tcW w:w="915" w:type="pct"/>
            <w:tcBorders>
              <w:top w:val="single" w:sz="12" w:space="0" w:color="auto"/>
              <w:left w:val="nil"/>
              <w:bottom w:val="single" w:sz="12" w:space="0" w:color="auto"/>
              <w:right w:val="nil"/>
            </w:tcBorders>
            <w:shd w:val="clear" w:color="auto" w:fill="auto"/>
            <w:hideMark/>
          </w:tcPr>
          <w:p w14:paraId="266CADF0" w14:textId="77777777" w:rsidR="00835833" w:rsidRPr="00095192" w:rsidRDefault="00835833" w:rsidP="00095192">
            <w:pPr>
              <w:autoSpaceDE w:val="0"/>
              <w:autoSpaceDN w:val="0"/>
              <w:adjustRightInd w:val="0"/>
              <w:snapToGrid w:val="0"/>
              <w:spacing w:after="0" w:line="240" w:lineRule="auto"/>
              <w:rPr>
                <w:rFonts w:ascii="Palatino Linotype" w:hAnsi="Palatino Linotype" w:cs="Times New Roman"/>
                <w:b/>
                <w:bCs/>
                <w:color w:val="000000" w:themeColor="text1"/>
                <w:sz w:val="18"/>
                <w:szCs w:val="20"/>
                <w:lang w:val="en-US"/>
              </w:rPr>
            </w:pPr>
            <w:r w:rsidRPr="00095192">
              <w:rPr>
                <w:rFonts w:ascii="Palatino Linotype" w:hAnsi="Palatino Linotype"/>
                <w:b/>
                <w:sz w:val="18"/>
                <w:szCs w:val="20"/>
                <w:lang w:val="en-US"/>
              </w:rPr>
              <w:t>Running: &gt;50km (n=150)</w:t>
            </w:r>
          </w:p>
        </w:tc>
      </w:tr>
      <w:tr w:rsidR="00835833" w:rsidRPr="00095192" w14:paraId="7235A032" w14:textId="77777777" w:rsidTr="00897CDC">
        <w:trPr>
          <w:jc w:val="center"/>
        </w:trPr>
        <w:tc>
          <w:tcPr>
            <w:tcW w:w="5000" w:type="pct"/>
            <w:gridSpan w:val="5"/>
            <w:tcBorders>
              <w:top w:val="single" w:sz="12" w:space="0" w:color="auto"/>
              <w:left w:val="nil"/>
              <w:bottom w:val="dotted" w:sz="4" w:space="0" w:color="000000" w:themeColor="text1"/>
              <w:right w:val="nil"/>
            </w:tcBorders>
            <w:shd w:val="clear" w:color="auto" w:fill="auto"/>
            <w:hideMark/>
          </w:tcPr>
          <w:p w14:paraId="3042153D" w14:textId="77777777" w:rsidR="00835833" w:rsidRPr="00095192" w:rsidRDefault="00835833" w:rsidP="00895E1F">
            <w:pPr>
              <w:autoSpaceDE w:val="0"/>
              <w:autoSpaceDN w:val="0"/>
              <w:adjustRightInd w:val="0"/>
              <w:snapToGrid w:val="0"/>
              <w:spacing w:after="0" w:line="240" w:lineRule="auto"/>
              <w:jc w:val="left"/>
              <w:rPr>
                <w:rFonts w:ascii="Palatino Linotype" w:hAnsi="Palatino Linotype" w:cs="Times New Roman"/>
                <w:color w:val="000000"/>
                <w:sz w:val="18"/>
                <w:szCs w:val="20"/>
                <w:lang w:val="en-US"/>
              </w:rPr>
            </w:pPr>
            <w:r w:rsidRPr="00095192">
              <w:rPr>
                <w:rFonts w:ascii="Palatino Linotype" w:hAnsi="Palatino Linotype" w:cs="Times New Roman"/>
                <w:b/>
                <w:bCs/>
                <w:color w:val="000000"/>
                <w:sz w:val="18"/>
                <w:szCs w:val="20"/>
                <w:lang w:val="en-US"/>
              </w:rPr>
              <w:t>Whole IVD</w:t>
            </w:r>
          </w:p>
        </w:tc>
      </w:tr>
      <w:tr w:rsidR="00095192" w:rsidRPr="00095192" w14:paraId="3DCD4075" w14:textId="77777777" w:rsidTr="00897CDC">
        <w:trPr>
          <w:jc w:val="center"/>
        </w:trPr>
        <w:tc>
          <w:tcPr>
            <w:tcW w:w="1003" w:type="pct"/>
            <w:tcBorders>
              <w:top w:val="dotted" w:sz="4" w:space="0" w:color="000000" w:themeColor="text1"/>
              <w:left w:val="nil"/>
              <w:bottom w:val="dotted" w:sz="4" w:space="0" w:color="000000" w:themeColor="text1"/>
              <w:right w:val="nil"/>
            </w:tcBorders>
            <w:shd w:val="clear" w:color="auto" w:fill="auto"/>
            <w:hideMark/>
          </w:tcPr>
          <w:p w14:paraId="0E4F929B" w14:textId="77777777" w:rsidR="00835833" w:rsidRPr="00095192" w:rsidRDefault="00835833" w:rsidP="00095192">
            <w:pPr>
              <w:autoSpaceDE w:val="0"/>
              <w:autoSpaceDN w:val="0"/>
              <w:adjustRightInd w:val="0"/>
              <w:snapToGrid w:val="0"/>
              <w:spacing w:after="0" w:line="240" w:lineRule="auto"/>
              <w:rPr>
                <w:rFonts w:ascii="Palatino Linotype" w:hAnsi="Palatino Linotype" w:cs="Times New Roman"/>
                <w:bCs/>
                <w:color w:val="000000"/>
                <w:sz w:val="18"/>
                <w:szCs w:val="20"/>
                <w:lang w:val="en-US"/>
              </w:rPr>
            </w:pPr>
            <w:r w:rsidRPr="00095192">
              <w:rPr>
                <w:rFonts w:ascii="Palatino Linotype" w:hAnsi="Palatino Linotype" w:cs="Times New Roman"/>
                <w:bCs/>
                <w:color w:val="000000"/>
                <w:sz w:val="18"/>
                <w:szCs w:val="20"/>
                <w:lang w:val="en-US"/>
              </w:rPr>
              <w:t xml:space="preserve">   T2-mapping (ms)</w:t>
            </w:r>
          </w:p>
        </w:tc>
        <w:tc>
          <w:tcPr>
            <w:tcW w:w="0" w:type="auto"/>
            <w:tcBorders>
              <w:top w:val="dotted" w:sz="4" w:space="0" w:color="000000" w:themeColor="text1"/>
              <w:left w:val="nil"/>
              <w:bottom w:val="dotted" w:sz="4" w:space="0" w:color="000000" w:themeColor="text1"/>
              <w:right w:val="nil"/>
            </w:tcBorders>
            <w:shd w:val="clear" w:color="auto" w:fill="auto"/>
            <w:hideMark/>
          </w:tcPr>
          <w:p w14:paraId="1DB80247" w14:textId="77777777" w:rsidR="00835833" w:rsidRPr="00095192" w:rsidRDefault="00835833" w:rsidP="00095192">
            <w:pPr>
              <w:autoSpaceDE w:val="0"/>
              <w:autoSpaceDN w:val="0"/>
              <w:adjustRightInd w:val="0"/>
              <w:snapToGrid w:val="0"/>
              <w:spacing w:after="0" w:line="240" w:lineRule="auto"/>
              <w:rPr>
                <w:rFonts w:ascii="Palatino Linotype" w:hAnsi="Palatino Linotype" w:cs="Times New Roman"/>
                <w:color w:val="000000"/>
                <w:sz w:val="18"/>
                <w:szCs w:val="20"/>
                <w:lang w:val="en-US"/>
              </w:rPr>
            </w:pPr>
            <w:r w:rsidRPr="00095192">
              <w:rPr>
                <w:rFonts w:ascii="Palatino Linotype" w:eastAsia="Times New Roman" w:hAnsi="Palatino Linotype" w:cs="Times New Roman"/>
                <w:color w:val="000000"/>
                <w:sz w:val="18"/>
                <w:szCs w:val="20"/>
                <w:lang w:val="en-US" w:eastAsia="en-AU"/>
              </w:rPr>
              <w:t>104.4(1.7)</w:t>
            </w:r>
          </w:p>
        </w:tc>
        <w:tc>
          <w:tcPr>
            <w:tcW w:w="1200" w:type="pct"/>
            <w:tcBorders>
              <w:top w:val="dotted" w:sz="4" w:space="0" w:color="000000" w:themeColor="text1"/>
              <w:left w:val="nil"/>
              <w:bottom w:val="dotted" w:sz="4" w:space="0" w:color="000000" w:themeColor="text1"/>
              <w:right w:val="nil"/>
            </w:tcBorders>
            <w:shd w:val="clear" w:color="auto" w:fill="auto"/>
            <w:hideMark/>
          </w:tcPr>
          <w:p w14:paraId="373C1996" w14:textId="77777777" w:rsidR="00835833" w:rsidRPr="00095192" w:rsidRDefault="00835833" w:rsidP="00095192">
            <w:pPr>
              <w:autoSpaceDE w:val="0"/>
              <w:autoSpaceDN w:val="0"/>
              <w:adjustRightInd w:val="0"/>
              <w:snapToGrid w:val="0"/>
              <w:spacing w:after="0" w:line="240" w:lineRule="auto"/>
              <w:rPr>
                <w:rFonts w:ascii="Palatino Linotype" w:hAnsi="Palatino Linotype" w:cs="Times New Roman"/>
                <w:bCs/>
                <w:color w:val="000000" w:themeColor="text1"/>
                <w:sz w:val="18"/>
                <w:szCs w:val="20"/>
                <w:lang w:val="en-US"/>
              </w:rPr>
            </w:pPr>
            <w:r w:rsidRPr="00095192">
              <w:rPr>
                <w:rFonts w:ascii="Palatino Linotype" w:eastAsia="Times New Roman" w:hAnsi="Palatino Linotype" w:cs="Times New Roman"/>
                <w:color w:val="000000"/>
                <w:sz w:val="18"/>
                <w:szCs w:val="20"/>
                <w:lang w:val="en-US" w:eastAsia="en-AU"/>
              </w:rPr>
              <w:t>121.6(1.</w:t>
            </w:r>
            <w:proofErr w:type="gramStart"/>
            <w:r w:rsidRPr="00095192">
              <w:rPr>
                <w:rFonts w:ascii="Palatino Linotype" w:eastAsia="Times New Roman" w:hAnsi="Palatino Linotype" w:cs="Times New Roman"/>
                <w:color w:val="000000"/>
                <w:sz w:val="18"/>
                <w:szCs w:val="20"/>
                <w:lang w:val="en-US" w:eastAsia="en-AU"/>
              </w:rPr>
              <w:t>7)‡</w:t>
            </w:r>
            <w:proofErr w:type="gramEnd"/>
          </w:p>
        </w:tc>
        <w:tc>
          <w:tcPr>
            <w:tcW w:w="1079" w:type="pct"/>
            <w:tcBorders>
              <w:top w:val="dotted" w:sz="4" w:space="0" w:color="000000" w:themeColor="text1"/>
              <w:left w:val="nil"/>
              <w:bottom w:val="dotted" w:sz="4" w:space="0" w:color="000000" w:themeColor="text1"/>
              <w:right w:val="nil"/>
            </w:tcBorders>
            <w:shd w:val="clear" w:color="auto" w:fill="auto"/>
            <w:hideMark/>
          </w:tcPr>
          <w:p w14:paraId="17AE6763" w14:textId="77777777" w:rsidR="00835833" w:rsidRPr="00095192" w:rsidRDefault="00835833" w:rsidP="00095192">
            <w:pPr>
              <w:autoSpaceDE w:val="0"/>
              <w:autoSpaceDN w:val="0"/>
              <w:adjustRightInd w:val="0"/>
              <w:snapToGrid w:val="0"/>
              <w:spacing w:after="0" w:line="240" w:lineRule="auto"/>
              <w:rPr>
                <w:rFonts w:ascii="Palatino Linotype" w:hAnsi="Palatino Linotype" w:cs="Times New Roman"/>
                <w:bCs/>
                <w:color w:val="000000" w:themeColor="text1"/>
                <w:sz w:val="18"/>
                <w:szCs w:val="20"/>
                <w:lang w:val="en-US"/>
              </w:rPr>
            </w:pPr>
            <w:r w:rsidRPr="00095192">
              <w:rPr>
                <w:rFonts w:ascii="Palatino Linotype" w:eastAsia="Times New Roman" w:hAnsi="Palatino Linotype" w:cs="Times New Roman"/>
                <w:color w:val="000000"/>
                <w:sz w:val="18"/>
                <w:szCs w:val="20"/>
                <w:lang w:val="en-US" w:eastAsia="en-AU"/>
              </w:rPr>
              <w:t>115.6(1.</w:t>
            </w:r>
            <w:proofErr w:type="gramStart"/>
            <w:r w:rsidRPr="00095192">
              <w:rPr>
                <w:rFonts w:ascii="Palatino Linotype" w:eastAsia="Times New Roman" w:hAnsi="Palatino Linotype" w:cs="Times New Roman"/>
                <w:color w:val="000000"/>
                <w:sz w:val="18"/>
                <w:szCs w:val="20"/>
                <w:lang w:val="en-US" w:eastAsia="en-AU"/>
              </w:rPr>
              <w:t>5)‡</w:t>
            </w:r>
            <w:proofErr w:type="gramEnd"/>
          </w:p>
        </w:tc>
        <w:tc>
          <w:tcPr>
            <w:tcW w:w="915" w:type="pct"/>
            <w:tcBorders>
              <w:top w:val="dotted" w:sz="4" w:space="0" w:color="000000" w:themeColor="text1"/>
              <w:left w:val="nil"/>
              <w:bottom w:val="dotted" w:sz="4" w:space="0" w:color="000000" w:themeColor="text1"/>
              <w:right w:val="nil"/>
            </w:tcBorders>
            <w:shd w:val="clear" w:color="auto" w:fill="auto"/>
            <w:hideMark/>
          </w:tcPr>
          <w:p w14:paraId="18C0F6EA" w14:textId="77777777" w:rsidR="00835833" w:rsidRPr="00095192" w:rsidRDefault="00835833" w:rsidP="00095192">
            <w:pPr>
              <w:autoSpaceDE w:val="0"/>
              <w:autoSpaceDN w:val="0"/>
              <w:adjustRightInd w:val="0"/>
              <w:snapToGrid w:val="0"/>
              <w:spacing w:after="0" w:line="240" w:lineRule="auto"/>
              <w:rPr>
                <w:rFonts w:ascii="Palatino Linotype" w:hAnsi="Palatino Linotype" w:cs="Times New Roman"/>
                <w:bCs/>
                <w:color w:val="000000" w:themeColor="text1"/>
                <w:sz w:val="18"/>
                <w:szCs w:val="20"/>
                <w:lang w:val="en-US"/>
              </w:rPr>
            </w:pPr>
            <w:r w:rsidRPr="00095192">
              <w:rPr>
                <w:rFonts w:ascii="Palatino Linotype" w:eastAsia="Times New Roman" w:hAnsi="Palatino Linotype" w:cs="Times New Roman"/>
                <w:color w:val="000000"/>
                <w:sz w:val="18"/>
                <w:szCs w:val="20"/>
                <w:lang w:val="en-US" w:eastAsia="en-AU"/>
              </w:rPr>
              <w:t>117.9(1.</w:t>
            </w:r>
            <w:proofErr w:type="gramStart"/>
            <w:r w:rsidRPr="00095192">
              <w:rPr>
                <w:rFonts w:ascii="Palatino Linotype" w:eastAsia="Times New Roman" w:hAnsi="Palatino Linotype" w:cs="Times New Roman"/>
                <w:color w:val="000000"/>
                <w:sz w:val="18"/>
                <w:szCs w:val="20"/>
                <w:lang w:val="en-US" w:eastAsia="en-AU"/>
              </w:rPr>
              <w:t>6)‡</w:t>
            </w:r>
            <w:proofErr w:type="gramEnd"/>
          </w:p>
        </w:tc>
      </w:tr>
      <w:tr w:rsidR="00897CDC" w:rsidRPr="00095192" w14:paraId="6334F558" w14:textId="77777777" w:rsidTr="00897CDC">
        <w:trPr>
          <w:jc w:val="center"/>
        </w:trPr>
        <w:tc>
          <w:tcPr>
            <w:tcW w:w="1003" w:type="pct"/>
            <w:tcBorders>
              <w:top w:val="dotted" w:sz="4" w:space="0" w:color="000000" w:themeColor="text1"/>
              <w:left w:val="nil"/>
              <w:bottom w:val="dotted" w:sz="4" w:space="0" w:color="000000" w:themeColor="text1"/>
              <w:right w:val="nil"/>
            </w:tcBorders>
            <w:shd w:val="clear" w:color="auto" w:fill="auto"/>
          </w:tcPr>
          <w:p w14:paraId="191CBD59" w14:textId="689F98AC" w:rsidR="00897CDC" w:rsidRPr="00095192" w:rsidRDefault="00897CDC" w:rsidP="00897CDC">
            <w:pPr>
              <w:autoSpaceDE w:val="0"/>
              <w:autoSpaceDN w:val="0"/>
              <w:adjustRightInd w:val="0"/>
              <w:snapToGrid w:val="0"/>
              <w:spacing w:after="0" w:line="240" w:lineRule="auto"/>
              <w:rPr>
                <w:rFonts w:ascii="Palatino Linotype" w:hAnsi="Palatino Linotype" w:cs="Times New Roman"/>
                <w:bCs/>
                <w:color w:val="000000"/>
                <w:sz w:val="18"/>
                <w:szCs w:val="20"/>
                <w:lang w:val="en-US"/>
              </w:rPr>
            </w:pPr>
            <w:r w:rsidRPr="00095192">
              <w:rPr>
                <w:rFonts w:ascii="Palatino Linotype" w:hAnsi="Palatino Linotype" w:cs="Times New Roman"/>
                <w:bCs/>
                <w:color w:val="000000"/>
                <w:sz w:val="18"/>
                <w:szCs w:val="20"/>
                <w:lang w:val="en-US"/>
              </w:rPr>
              <w:t xml:space="preserve">   T2w-SI (no unit)</w:t>
            </w:r>
          </w:p>
        </w:tc>
        <w:tc>
          <w:tcPr>
            <w:tcW w:w="0" w:type="auto"/>
            <w:tcBorders>
              <w:top w:val="dotted" w:sz="4" w:space="0" w:color="000000" w:themeColor="text1"/>
              <w:left w:val="nil"/>
              <w:bottom w:val="dotted" w:sz="4" w:space="0" w:color="000000" w:themeColor="text1"/>
              <w:right w:val="nil"/>
            </w:tcBorders>
            <w:shd w:val="clear" w:color="auto" w:fill="auto"/>
          </w:tcPr>
          <w:p w14:paraId="7E98C3D0" w14:textId="4DB0FFE3" w:rsidR="00897CDC" w:rsidRPr="00095192" w:rsidRDefault="00897CDC" w:rsidP="00897CDC">
            <w:pPr>
              <w:autoSpaceDE w:val="0"/>
              <w:autoSpaceDN w:val="0"/>
              <w:adjustRightInd w:val="0"/>
              <w:snapToGrid w:val="0"/>
              <w:spacing w:after="0" w:line="240" w:lineRule="auto"/>
              <w:rPr>
                <w:rFonts w:ascii="Palatino Linotype" w:eastAsia="Times New Roman" w:hAnsi="Palatino Linotype" w:cs="Times New Roman"/>
                <w:color w:val="000000"/>
                <w:sz w:val="18"/>
                <w:szCs w:val="20"/>
                <w:lang w:val="en-US" w:eastAsia="en-AU"/>
              </w:rPr>
            </w:pPr>
            <w:r w:rsidRPr="00095192">
              <w:rPr>
                <w:rFonts w:ascii="Palatino Linotype" w:hAnsi="Palatino Linotype" w:cs="Times New Roman"/>
                <w:sz w:val="18"/>
                <w:szCs w:val="20"/>
                <w:lang w:val="en-US"/>
              </w:rPr>
              <w:t>326.9(4.9)</w:t>
            </w:r>
          </w:p>
        </w:tc>
        <w:tc>
          <w:tcPr>
            <w:tcW w:w="1200" w:type="pct"/>
            <w:tcBorders>
              <w:top w:val="dotted" w:sz="4" w:space="0" w:color="000000" w:themeColor="text1"/>
              <w:left w:val="nil"/>
              <w:bottom w:val="dotted" w:sz="4" w:space="0" w:color="000000" w:themeColor="text1"/>
              <w:right w:val="nil"/>
            </w:tcBorders>
            <w:shd w:val="clear" w:color="auto" w:fill="auto"/>
          </w:tcPr>
          <w:p w14:paraId="459D0384" w14:textId="1A55758B" w:rsidR="00897CDC" w:rsidRPr="00095192" w:rsidRDefault="00897CDC" w:rsidP="00897CDC">
            <w:pPr>
              <w:autoSpaceDE w:val="0"/>
              <w:autoSpaceDN w:val="0"/>
              <w:adjustRightInd w:val="0"/>
              <w:snapToGrid w:val="0"/>
              <w:spacing w:after="0" w:line="240" w:lineRule="auto"/>
              <w:rPr>
                <w:rFonts w:ascii="Palatino Linotype" w:eastAsia="Times New Roman" w:hAnsi="Palatino Linotype" w:cs="Times New Roman"/>
                <w:color w:val="000000"/>
                <w:sz w:val="18"/>
                <w:szCs w:val="20"/>
                <w:lang w:val="en-US" w:eastAsia="en-AU"/>
              </w:rPr>
            </w:pPr>
            <w:r w:rsidRPr="00095192">
              <w:rPr>
                <w:rFonts w:ascii="Palatino Linotype" w:hAnsi="Palatino Linotype" w:cs="Times New Roman"/>
                <w:sz w:val="18"/>
                <w:szCs w:val="20"/>
                <w:lang w:val="en-US"/>
              </w:rPr>
              <w:t>329.7(5.1)</w:t>
            </w:r>
          </w:p>
        </w:tc>
        <w:tc>
          <w:tcPr>
            <w:tcW w:w="1079" w:type="pct"/>
            <w:tcBorders>
              <w:top w:val="dotted" w:sz="4" w:space="0" w:color="000000" w:themeColor="text1"/>
              <w:left w:val="nil"/>
              <w:bottom w:val="dotted" w:sz="4" w:space="0" w:color="000000" w:themeColor="text1"/>
              <w:right w:val="nil"/>
            </w:tcBorders>
            <w:shd w:val="clear" w:color="auto" w:fill="auto"/>
          </w:tcPr>
          <w:p w14:paraId="339CA9A8" w14:textId="5B8B1350" w:rsidR="00897CDC" w:rsidRPr="00095192" w:rsidRDefault="00897CDC" w:rsidP="00897CDC">
            <w:pPr>
              <w:autoSpaceDE w:val="0"/>
              <w:autoSpaceDN w:val="0"/>
              <w:adjustRightInd w:val="0"/>
              <w:snapToGrid w:val="0"/>
              <w:spacing w:after="0" w:line="240" w:lineRule="auto"/>
              <w:rPr>
                <w:rFonts w:ascii="Palatino Linotype" w:eastAsia="Times New Roman" w:hAnsi="Palatino Linotype" w:cs="Times New Roman"/>
                <w:color w:val="000000"/>
                <w:sz w:val="18"/>
                <w:szCs w:val="20"/>
                <w:lang w:val="en-US" w:eastAsia="en-AU"/>
              </w:rPr>
            </w:pPr>
            <w:r w:rsidRPr="00095192">
              <w:rPr>
                <w:rFonts w:ascii="Palatino Linotype" w:hAnsi="Palatino Linotype" w:cs="Times New Roman"/>
                <w:sz w:val="18"/>
                <w:szCs w:val="20"/>
                <w:lang w:val="en-US"/>
              </w:rPr>
              <w:t>317.6(4.4)</w:t>
            </w:r>
          </w:p>
        </w:tc>
        <w:tc>
          <w:tcPr>
            <w:tcW w:w="915" w:type="pct"/>
            <w:tcBorders>
              <w:top w:val="dotted" w:sz="4" w:space="0" w:color="000000" w:themeColor="text1"/>
              <w:left w:val="nil"/>
              <w:bottom w:val="dotted" w:sz="4" w:space="0" w:color="000000" w:themeColor="text1"/>
              <w:right w:val="nil"/>
            </w:tcBorders>
            <w:shd w:val="clear" w:color="auto" w:fill="auto"/>
          </w:tcPr>
          <w:p w14:paraId="1C256F8B" w14:textId="0170B849" w:rsidR="00897CDC" w:rsidRPr="00095192" w:rsidRDefault="00897CDC" w:rsidP="00897CDC">
            <w:pPr>
              <w:autoSpaceDE w:val="0"/>
              <w:autoSpaceDN w:val="0"/>
              <w:adjustRightInd w:val="0"/>
              <w:snapToGrid w:val="0"/>
              <w:spacing w:after="0" w:line="240" w:lineRule="auto"/>
              <w:rPr>
                <w:rFonts w:ascii="Palatino Linotype" w:eastAsia="Times New Roman" w:hAnsi="Palatino Linotype" w:cs="Times New Roman"/>
                <w:color w:val="000000"/>
                <w:sz w:val="18"/>
                <w:szCs w:val="20"/>
                <w:lang w:val="en-US" w:eastAsia="en-AU"/>
              </w:rPr>
            </w:pPr>
            <w:r w:rsidRPr="00095192">
              <w:rPr>
                <w:rFonts w:ascii="Palatino Linotype" w:hAnsi="Palatino Linotype" w:cs="Times New Roman"/>
                <w:sz w:val="18"/>
                <w:szCs w:val="20"/>
                <w:lang w:val="en-US"/>
              </w:rPr>
              <w:t>320.5(4.8)</w:t>
            </w:r>
          </w:p>
        </w:tc>
      </w:tr>
      <w:tr w:rsidR="00897CDC" w:rsidRPr="00095192" w14:paraId="2F126A27" w14:textId="77777777" w:rsidTr="00897CDC">
        <w:trPr>
          <w:jc w:val="center"/>
        </w:trPr>
        <w:tc>
          <w:tcPr>
            <w:tcW w:w="1003" w:type="pct"/>
            <w:tcBorders>
              <w:top w:val="dotted" w:sz="4" w:space="0" w:color="000000" w:themeColor="text1"/>
              <w:left w:val="nil"/>
              <w:bottom w:val="dotted" w:sz="4" w:space="0" w:color="000000" w:themeColor="text1"/>
              <w:right w:val="nil"/>
            </w:tcBorders>
            <w:shd w:val="clear" w:color="auto" w:fill="auto"/>
          </w:tcPr>
          <w:p w14:paraId="33C0F1A2" w14:textId="10073CBC" w:rsidR="00897CDC" w:rsidRPr="00095192" w:rsidRDefault="00897CDC" w:rsidP="00897CDC">
            <w:pPr>
              <w:autoSpaceDE w:val="0"/>
              <w:autoSpaceDN w:val="0"/>
              <w:adjustRightInd w:val="0"/>
              <w:snapToGrid w:val="0"/>
              <w:spacing w:after="0" w:line="240" w:lineRule="auto"/>
              <w:rPr>
                <w:rFonts w:ascii="Palatino Linotype" w:hAnsi="Palatino Linotype" w:cs="Times New Roman"/>
                <w:bCs/>
                <w:color w:val="000000"/>
                <w:sz w:val="18"/>
                <w:szCs w:val="20"/>
                <w:lang w:val="en-US"/>
              </w:rPr>
            </w:pPr>
            <w:r w:rsidRPr="00095192">
              <w:rPr>
                <w:rFonts w:ascii="Palatino Linotype" w:hAnsi="Palatino Linotype" w:cs="Times New Roman"/>
                <w:bCs/>
                <w:color w:val="000000"/>
                <w:sz w:val="18"/>
                <w:szCs w:val="20"/>
                <w:lang w:val="en-US"/>
              </w:rPr>
              <w:t xml:space="preserve">   Dixon (%)</w:t>
            </w:r>
          </w:p>
        </w:tc>
        <w:tc>
          <w:tcPr>
            <w:tcW w:w="0" w:type="auto"/>
            <w:tcBorders>
              <w:top w:val="dotted" w:sz="4" w:space="0" w:color="000000" w:themeColor="text1"/>
              <w:left w:val="nil"/>
              <w:bottom w:val="dotted" w:sz="4" w:space="0" w:color="000000" w:themeColor="text1"/>
              <w:right w:val="nil"/>
            </w:tcBorders>
            <w:shd w:val="clear" w:color="auto" w:fill="auto"/>
          </w:tcPr>
          <w:p w14:paraId="0C029245" w14:textId="00B1BFC8" w:rsidR="00897CDC" w:rsidRPr="00095192" w:rsidRDefault="00897CDC" w:rsidP="00897CDC">
            <w:pPr>
              <w:autoSpaceDE w:val="0"/>
              <w:autoSpaceDN w:val="0"/>
              <w:adjustRightInd w:val="0"/>
              <w:snapToGrid w:val="0"/>
              <w:spacing w:after="0" w:line="240" w:lineRule="auto"/>
              <w:rPr>
                <w:rFonts w:ascii="Palatino Linotype" w:eastAsia="Times New Roman" w:hAnsi="Palatino Linotype" w:cs="Times New Roman"/>
                <w:color w:val="000000"/>
                <w:sz w:val="18"/>
                <w:szCs w:val="20"/>
                <w:lang w:val="en-US" w:eastAsia="en-AU"/>
              </w:rPr>
            </w:pPr>
            <w:r w:rsidRPr="00095192">
              <w:rPr>
                <w:rFonts w:ascii="Palatino Linotype" w:eastAsia="Times New Roman" w:hAnsi="Palatino Linotype" w:cs="Times New Roman"/>
                <w:color w:val="000000"/>
                <w:sz w:val="18"/>
                <w:szCs w:val="20"/>
                <w:lang w:val="en-US" w:eastAsia="en-AU"/>
              </w:rPr>
              <w:t>86.0(0.6)</w:t>
            </w:r>
          </w:p>
        </w:tc>
        <w:tc>
          <w:tcPr>
            <w:tcW w:w="1200" w:type="pct"/>
            <w:tcBorders>
              <w:top w:val="dotted" w:sz="4" w:space="0" w:color="000000" w:themeColor="text1"/>
              <w:left w:val="nil"/>
              <w:bottom w:val="dotted" w:sz="4" w:space="0" w:color="000000" w:themeColor="text1"/>
              <w:right w:val="nil"/>
            </w:tcBorders>
            <w:shd w:val="clear" w:color="auto" w:fill="auto"/>
          </w:tcPr>
          <w:p w14:paraId="59B2204E" w14:textId="3E171A12" w:rsidR="00897CDC" w:rsidRPr="00095192" w:rsidRDefault="00897CDC" w:rsidP="00897CDC">
            <w:pPr>
              <w:autoSpaceDE w:val="0"/>
              <w:autoSpaceDN w:val="0"/>
              <w:adjustRightInd w:val="0"/>
              <w:snapToGrid w:val="0"/>
              <w:spacing w:after="0" w:line="240" w:lineRule="auto"/>
              <w:rPr>
                <w:rFonts w:ascii="Palatino Linotype" w:eastAsia="Times New Roman" w:hAnsi="Palatino Linotype" w:cs="Times New Roman"/>
                <w:color w:val="000000"/>
                <w:sz w:val="18"/>
                <w:szCs w:val="20"/>
                <w:lang w:val="en-US" w:eastAsia="en-AU"/>
              </w:rPr>
            </w:pPr>
            <w:r w:rsidRPr="00095192">
              <w:rPr>
                <w:rFonts w:ascii="Palatino Linotype" w:eastAsia="Times New Roman" w:hAnsi="Palatino Linotype" w:cs="Times New Roman"/>
                <w:color w:val="000000"/>
                <w:sz w:val="18"/>
                <w:szCs w:val="20"/>
                <w:lang w:val="en-US" w:eastAsia="en-AU"/>
              </w:rPr>
              <w:t>87.1(0.7)</w:t>
            </w:r>
          </w:p>
        </w:tc>
        <w:tc>
          <w:tcPr>
            <w:tcW w:w="1079" w:type="pct"/>
            <w:tcBorders>
              <w:top w:val="dotted" w:sz="4" w:space="0" w:color="000000" w:themeColor="text1"/>
              <w:left w:val="nil"/>
              <w:bottom w:val="dotted" w:sz="4" w:space="0" w:color="000000" w:themeColor="text1"/>
              <w:right w:val="nil"/>
            </w:tcBorders>
            <w:shd w:val="clear" w:color="auto" w:fill="auto"/>
          </w:tcPr>
          <w:p w14:paraId="218E35DE" w14:textId="17500A25" w:rsidR="00897CDC" w:rsidRPr="00095192" w:rsidRDefault="00897CDC" w:rsidP="00897CDC">
            <w:pPr>
              <w:autoSpaceDE w:val="0"/>
              <w:autoSpaceDN w:val="0"/>
              <w:adjustRightInd w:val="0"/>
              <w:snapToGrid w:val="0"/>
              <w:spacing w:after="0" w:line="240" w:lineRule="auto"/>
              <w:rPr>
                <w:rFonts w:ascii="Palatino Linotype" w:eastAsia="Times New Roman" w:hAnsi="Palatino Linotype" w:cs="Times New Roman"/>
                <w:color w:val="000000"/>
                <w:sz w:val="18"/>
                <w:szCs w:val="20"/>
                <w:lang w:val="en-US" w:eastAsia="en-AU"/>
              </w:rPr>
            </w:pPr>
            <w:r w:rsidRPr="00095192">
              <w:rPr>
                <w:rFonts w:ascii="Palatino Linotype" w:eastAsia="Times New Roman" w:hAnsi="Palatino Linotype" w:cs="Times New Roman"/>
                <w:color w:val="000000"/>
                <w:sz w:val="18"/>
                <w:szCs w:val="20"/>
                <w:lang w:val="en-US" w:eastAsia="en-AU"/>
              </w:rPr>
              <w:t>87.1(0.6)</w:t>
            </w:r>
          </w:p>
        </w:tc>
        <w:tc>
          <w:tcPr>
            <w:tcW w:w="915" w:type="pct"/>
            <w:tcBorders>
              <w:top w:val="dotted" w:sz="4" w:space="0" w:color="000000" w:themeColor="text1"/>
              <w:left w:val="nil"/>
              <w:bottom w:val="dotted" w:sz="4" w:space="0" w:color="000000" w:themeColor="text1"/>
              <w:right w:val="nil"/>
            </w:tcBorders>
            <w:shd w:val="clear" w:color="auto" w:fill="auto"/>
          </w:tcPr>
          <w:p w14:paraId="67B53DD8" w14:textId="74A1F811" w:rsidR="00897CDC" w:rsidRPr="00095192" w:rsidRDefault="00897CDC" w:rsidP="00897CDC">
            <w:pPr>
              <w:autoSpaceDE w:val="0"/>
              <w:autoSpaceDN w:val="0"/>
              <w:adjustRightInd w:val="0"/>
              <w:snapToGrid w:val="0"/>
              <w:spacing w:after="0" w:line="240" w:lineRule="auto"/>
              <w:rPr>
                <w:rFonts w:ascii="Palatino Linotype" w:eastAsia="Times New Roman" w:hAnsi="Palatino Linotype" w:cs="Times New Roman"/>
                <w:color w:val="000000"/>
                <w:sz w:val="18"/>
                <w:szCs w:val="20"/>
                <w:lang w:val="en-US" w:eastAsia="en-AU"/>
              </w:rPr>
            </w:pPr>
            <w:r w:rsidRPr="00095192">
              <w:rPr>
                <w:rFonts w:ascii="Palatino Linotype" w:eastAsia="Times New Roman" w:hAnsi="Palatino Linotype" w:cs="Times New Roman"/>
                <w:color w:val="000000"/>
                <w:sz w:val="18"/>
                <w:szCs w:val="20"/>
                <w:lang w:val="en-US" w:eastAsia="en-AU"/>
              </w:rPr>
              <w:t>88.1(0.</w:t>
            </w:r>
            <w:proofErr w:type="gramStart"/>
            <w:r w:rsidRPr="00095192">
              <w:rPr>
                <w:rFonts w:ascii="Palatino Linotype" w:eastAsia="Times New Roman" w:hAnsi="Palatino Linotype" w:cs="Times New Roman"/>
                <w:color w:val="000000"/>
                <w:sz w:val="18"/>
                <w:szCs w:val="20"/>
                <w:lang w:val="en-US" w:eastAsia="en-AU"/>
              </w:rPr>
              <w:t>6)*</w:t>
            </w:r>
            <w:proofErr w:type="gramEnd"/>
          </w:p>
        </w:tc>
      </w:tr>
      <w:tr w:rsidR="00897CDC" w:rsidRPr="00095192" w14:paraId="7CFC2041" w14:textId="77777777" w:rsidTr="00897CDC">
        <w:trPr>
          <w:jc w:val="center"/>
        </w:trPr>
        <w:tc>
          <w:tcPr>
            <w:tcW w:w="5000" w:type="pct"/>
            <w:gridSpan w:val="5"/>
            <w:tcBorders>
              <w:top w:val="dotted" w:sz="4" w:space="0" w:color="000000" w:themeColor="text1"/>
              <w:left w:val="nil"/>
              <w:bottom w:val="dotted" w:sz="4" w:space="0" w:color="000000" w:themeColor="text1"/>
              <w:right w:val="nil"/>
            </w:tcBorders>
            <w:shd w:val="clear" w:color="auto" w:fill="auto"/>
            <w:hideMark/>
          </w:tcPr>
          <w:p w14:paraId="100077AF" w14:textId="77777777" w:rsidR="00897CDC" w:rsidRPr="00095192" w:rsidRDefault="00897CDC" w:rsidP="00897CDC">
            <w:pPr>
              <w:autoSpaceDE w:val="0"/>
              <w:autoSpaceDN w:val="0"/>
              <w:adjustRightInd w:val="0"/>
              <w:snapToGrid w:val="0"/>
              <w:spacing w:after="0" w:line="240" w:lineRule="auto"/>
              <w:jc w:val="left"/>
              <w:rPr>
                <w:rFonts w:ascii="Palatino Linotype" w:hAnsi="Palatino Linotype" w:cs="Times New Roman"/>
                <w:b/>
                <w:bCs/>
                <w:color w:val="000000"/>
                <w:sz w:val="18"/>
                <w:szCs w:val="20"/>
                <w:lang w:val="en-US"/>
              </w:rPr>
            </w:pPr>
            <w:r w:rsidRPr="00095192">
              <w:rPr>
                <w:rFonts w:ascii="Palatino Linotype" w:hAnsi="Palatino Linotype" w:cs="Times New Roman"/>
                <w:b/>
                <w:bCs/>
                <w:color w:val="000000"/>
                <w:sz w:val="18"/>
                <w:szCs w:val="20"/>
                <w:lang w:val="en-US"/>
              </w:rPr>
              <w:t>Nucleus</w:t>
            </w:r>
          </w:p>
        </w:tc>
      </w:tr>
      <w:tr w:rsidR="00897CDC" w:rsidRPr="00095192" w14:paraId="6A24DA48" w14:textId="77777777" w:rsidTr="00897CDC">
        <w:trPr>
          <w:jc w:val="center"/>
        </w:trPr>
        <w:tc>
          <w:tcPr>
            <w:tcW w:w="1003" w:type="pct"/>
            <w:tcBorders>
              <w:top w:val="dotted" w:sz="4" w:space="0" w:color="000000" w:themeColor="text1"/>
              <w:left w:val="nil"/>
              <w:bottom w:val="dotted" w:sz="4" w:space="0" w:color="000000" w:themeColor="text1"/>
              <w:right w:val="nil"/>
            </w:tcBorders>
            <w:shd w:val="clear" w:color="auto" w:fill="auto"/>
            <w:hideMark/>
          </w:tcPr>
          <w:p w14:paraId="6F6E59D8" w14:textId="77777777" w:rsidR="00897CDC" w:rsidRPr="00095192" w:rsidRDefault="00897CDC" w:rsidP="00897CDC">
            <w:pPr>
              <w:autoSpaceDE w:val="0"/>
              <w:autoSpaceDN w:val="0"/>
              <w:adjustRightInd w:val="0"/>
              <w:snapToGrid w:val="0"/>
              <w:spacing w:after="0" w:line="240" w:lineRule="auto"/>
              <w:rPr>
                <w:rFonts w:ascii="Palatino Linotype" w:hAnsi="Palatino Linotype" w:cs="Times New Roman"/>
                <w:bCs/>
                <w:color w:val="000000"/>
                <w:sz w:val="18"/>
                <w:szCs w:val="20"/>
                <w:lang w:val="en-US"/>
              </w:rPr>
            </w:pPr>
            <w:r w:rsidRPr="00095192">
              <w:rPr>
                <w:rFonts w:ascii="Palatino Linotype" w:hAnsi="Palatino Linotype" w:cs="Times New Roman"/>
                <w:bCs/>
                <w:color w:val="000000"/>
                <w:sz w:val="18"/>
                <w:szCs w:val="20"/>
                <w:lang w:val="en-US"/>
              </w:rPr>
              <w:t xml:space="preserve">   T2-mapping (ms)</w:t>
            </w:r>
          </w:p>
        </w:tc>
        <w:tc>
          <w:tcPr>
            <w:tcW w:w="0" w:type="auto"/>
            <w:tcBorders>
              <w:top w:val="dotted" w:sz="4" w:space="0" w:color="000000" w:themeColor="text1"/>
              <w:left w:val="nil"/>
              <w:bottom w:val="dotted" w:sz="4" w:space="0" w:color="000000" w:themeColor="text1"/>
              <w:right w:val="nil"/>
            </w:tcBorders>
            <w:shd w:val="clear" w:color="auto" w:fill="auto"/>
            <w:hideMark/>
          </w:tcPr>
          <w:p w14:paraId="77799399" w14:textId="77777777" w:rsidR="00897CDC" w:rsidRPr="00095192" w:rsidRDefault="00897CDC" w:rsidP="00897CDC">
            <w:pPr>
              <w:autoSpaceDE w:val="0"/>
              <w:autoSpaceDN w:val="0"/>
              <w:adjustRightInd w:val="0"/>
              <w:snapToGrid w:val="0"/>
              <w:spacing w:after="0" w:line="240" w:lineRule="auto"/>
              <w:rPr>
                <w:rFonts w:ascii="Palatino Linotype" w:hAnsi="Palatino Linotype" w:cs="Times New Roman"/>
                <w:color w:val="000000"/>
                <w:sz w:val="18"/>
                <w:szCs w:val="20"/>
                <w:lang w:val="en-US"/>
              </w:rPr>
            </w:pPr>
            <w:r w:rsidRPr="00095192">
              <w:rPr>
                <w:rFonts w:ascii="Palatino Linotype" w:eastAsia="Times New Roman" w:hAnsi="Palatino Linotype" w:cs="Times New Roman"/>
                <w:color w:val="000000"/>
                <w:sz w:val="18"/>
                <w:szCs w:val="20"/>
                <w:lang w:val="en-US" w:eastAsia="en-AU"/>
              </w:rPr>
              <w:t>111.4(3.0)</w:t>
            </w:r>
          </w:p>
        </w:tc>
        <w:tc>
          <w:tcPr>
            <w:tcW w:w="1200" w:type="pct"/>
            <w:tcBorders>
              <w:top w:val="dotted" w:sz="4" w:space="0" w:color="000000" w:themeColor="text1"/>
              <w:left w:val="nil"/>
              <w:bottom w:val="dotted" w:sz="4" w:space="0" w:color="000000" w:themeColor="text1"/>
              <w:right w:val="nil"/>
            </w:tcBorders>
            <w:shd w:val="clear" w:color="auto" w:fill="auto"/>
            <w:hideMark/>
          </w:tcPr>
          <w:p w14:paraId="0E205696" w14:textId="77777777" w:rsidR="00897CDC" w:rsidRPr="00095192" w:rsidRDefault="00897CDC" w:rsidP="00897CDC">
            <w:pPr>
              <w:autoSpaceDE w:val="0"/>
              <w:autoSpaceDN w:val="0"/>
              <w:adjustRightInd w:val="0"/>
              <w:snapToGrid w:val="0"/>
              <w:spacing w:after="0" w:line="240" w:lineRule="auto"/>
              <w:rPr>
                <w:rFonts w:ascii="Palatino Linotype" w:hAnsi="Palatino Linotype" w:cs="Times New Roman"/>
                <w:bCs/>
                <w:color w:val="000000" w:themeColor="text1"/>
                <w:sz w:val="18"/>
                <w:szCs w:val="20"/>
                <w:lang w:val="en-US"/>
              </w:rPr>
            </w:pPr>
            <w:r w:rsidRPr="00095192">
              <w:rPr>
                <w:rFonts w:ascii="Palatino Linotype" w:eastAsia="Times New Roman" w:hAnsi="Palatino Linotype" w:cs="Times New Roman"/>
                <w:color w:val="000000"/>
                <w:sz w:val="18"/>
                <w:szCs w:val="20"/>
                <w:lang w:val="en-US" w:eastAsia="en-AU"/>
              </w:rPr>
              <w:t>137.7(3.</w:t>
            </w:r>
            <w:proofErr w:type="gramStart"/>
            <w:r w:rsidRPr="00095192">
              <w:rPr>
                <w:rFonts w:ascii="Palatino Linotype" w:eastAsia="Times New Roman" w:hAnsi="Palatino Linotype" w:cs="Times New Roman"/>
                <w:color w:val="000000"/>
                <w:sz w:val="18"/>
                <w:szCs w:val="20"/>
                <w:lang w:val="en-US" w:eastAsia="en-AU"/>
              </w:rPr>
              <w:t>1)‡</w:t>
            </w:r>
            <w:proofErr w:type="gramEnd"/>
          </w:p>
        </w:tc>
        <w:tc>
          <w:tcPr>
            <w:tcW w:w="1079" w:type="pct"/>
            <w:tcBorders>
              <w:top w:val="dotted" w:sz="4" w:space="0" w:color="000000" w:themeColor="text1"/>
              <w:left w:val="nil"/>
              <w:bottom w:val="dotted" w:sz="4" w:space="0" w:color="000000" w:themeColor="text1"/>
              <w:right w:val="nil"/>
            </w:tcBorders>
            <w:shd w:val="clear" w:color="auto" w:fill="auto"/>
            <w:hideMark/>
          </w:tcPr>
          <w:p w14:paraId="09A671AB" w14:textId="77777777" w:rsidR="00897CDC" w:rsidRPr="00095192" w:rsidRDefault="00897CDC" w:rsidP="00897CDC">
            <w:pPr>
              <w:autoSpaceDE w:val="0"/>
              <w:autoSpaceDN w:val="0"/>
              <w:adjustRightInd w:val="0"/>
              <w:snapToGrid w:val="0"/>
              <w:spacing w:after="0" w:line="240" w:lineRule="auto"/>
              <w:rPr>
                <w:rFonts w:ascii="Palatino Linotype" w:hAnsi="Palatino Linotype" w:cs="Times New Roman"/>
                <w:bCs/>
                <w:color w:val="000000" w:themeColor="text1"/>
                <w:sz w:val="18"/>
                <w:szCs w:val="20"/>
                <w:lang w:val="en-US"/>
              </w:rPr>
            </w:pPr>
            <w:r w:rsidRPr="00095192">
              <w:rPr>
                <w:rFonts w:ascii="Palatino Linotype" w:eastAsia="Times New Roman" w:hAnsi="Palatino Linotype" w:cs="Times New Roman"/>
                <w:color w:val="000000"/>
                <w:sz w:val="18"/>
                <w:szCs w:val="20"/>
                <w:lang w:val="en-US" w:eastAsia="en-AU"/>
              </w:rPr>
              <w:t>129.8(2.</w:t>
            </w:r>
            <w:proofErr w:type="gramStart"/>
            <w:r w:rsidRPr="00095192">
              <w:rPr>
                <w:rFonts w:ascii="Palatino Linotype" w:eastAsia="Times New Roman" w:hAnsi="Palatino Linotype" w:cs="Times New Roman"/>
                <w:color w:val="000000"/>
                <w:sz w:val="18"/>
                <w:szCs w:val="20"/>
                <w:lang w:val="en-US" w:eastAsia="en-AU"/>
              </w:rPr>
              <w:t>7)‡</w:t>
            </w:r>
            <w:proofErr w:type="gramEnd"/>
          </w:p>
        </w:tc>
        <w:tc>
          <w:tcPr>
            <w:tcW w:w="915" w:type="pct"/>
            <w:tcBorders>
              <w:top w:val="dotted" w:sz="4" w:space="0" w:color="000000" w:themeColor="text1"/>
              <w:left w:val="nil"/>
              <w:bottom w:val="dotted" w:sz="4" w:space="0" w:color="000000" w:themeColor="text1"/>
              <w:right w:val="nil"/>
            </w:tcBorders>
            <w:shd w:val="clear" w:color="auto" w:fill="auto"/>
            <w:hideMark/>
          </w:tcPr>
          <w:p w14:paraId="516350F0" w14:textId="77777777" w:rsidR="00897CDC" w:rsidRPr="00095192" w:rsidRDefault="00897CDC" w:rsidP="00897CDC">
            <w:pPr>
              <w:autoSpaceDE w:val="0"/>
              <w:autoSpaceDN w:val="0"/>
              <w:adjustRightInd w:val="0"/>
              <w:snapToGrid w:val="0"/>
              <w:spacing w:after="0" w:line="240" w:lineRule="auto"/>
              <w:rPr>
                <w:rFonts w:ascii="Palatino Linotype" w:hAnsi="Palatino Linotype" w:cs="Times New Roman"/>
                <w:bCs/>
                <w:color w:val="000000" w:themeColor="text1"/>
                <w:sz w:val="18"/>
                <w:szCs w:val="20"/>
                <w:lang w:val="en-US"/>
              </w:rPr>
            </w:pPr>
            <w:r w:rsidRPr="00095192">
              <w:rPr>
                <w:rFonts w:ascii="Palatino Linotype" w:eastAsia="Times New Roman" w:hAnsi="Palatino Linotype" w:cs="Times New Roman"/>
                <w:color w:val="000000"/>
                <w:sz w:val="18"/>
                <w:szCs w:val="20"/>
                <w:lang w:val="en-US" w:eastAsia="en-AU"/>
              </w:rPr>
              <w:t>132.6(2.</w:t>
            </w:r>
            <w:proofErr w:type="gramStart"/>
            <w:r w:rsidRPr="00095192">
              <w:rPr>
                <w:rFonts w:ascii="Palatino Linotype" w:eastAsia="Times New Roman" w:hAnsi="Palatino Linotype" w:cs="Times New Roman"/>
                <w:color w:val="000000"/>
                <w:sz w:val="18"/>
                <w:szCs w:val="20"/>
                <w:lang w:val="en-US" w:eastAsia="en-AU"/>
              </w:rPr>
              <w:t>9)‡</w:t>
            </w:r>
            <w:proofErr w:type="gramEnd"/>
          </w:p>
        </w:tc>
      </w:tr>
      <w:tr w:rsidR="00897CDC" w:rsidRPr="00095192" w14:paraId="32DAD7B9" w14:textId="77777777" w:rsidTr="00ED7628">
        <w:trPr>
          <w:jc w:val="center"/>
        </w:trPr>
        <w:tc>
          <w:tcPr>
            <w:tcW w:w="1003" w:type="pct"/>
            <w:tcBorders>
              <w:top w:val="dotted" w:sz="4" w:space="0" w:color="000000" w:themeColor="text1"/>
              <w:left w:val="nil"/>
              <w:bottom w:val="dotted" w:sz="4" w:space="0" w:color="000000" w:themeColor="text1"/>
              <w:right w:val="nil"/>
            </w:tcBorders>
            <w:shd w:val="clear" w:color="auto" w:fill="auto"/>
            <w:hideMark/>
          </w:tcPr>
          <w:p w14:paraId="3AA7F7C2" w14:textId="77777777" w:rsidR="00897CDC" w:rsidRPr="00095192" w:rsidRDefault="00897CDC" w:rsidP="00ED7628">
            <w:pPr>
              <w:autoSpaceDE w:val="0"/>
              <w:autoSpaceDN w:val="0"/>
              <w:adjustRightInd w:val="0"/>
              <w:snapToGrid w:val="0"/>
              <w:spacing w:after="0" w:line="240" w:lineRule="auto"/>
              <w:rPr>
                <w:rFonts w:ascii="Palatino Linotype" w:hAnsi="Palatino Linotype" w:cs="Times New Roman"/>
                <w:bCs/>
                <w:color w:val="000000"/>
                <w:sz w:val="18"/>
                <w:szCs w:val="20"/>
                <w:lang w:val="en-US"/>
              </w:rPr>
            </w:pPr>
            <w:r w:rsidRPr="00095192">
              <w:rPr>
                <w:rFonts w:ascii="Palatino Linotype" w:hAnsi="Palatino Linotype" w:cs="Times New Roman"/>
                <w:bCs/>
                <w:color w:val="000000"/>
                <w:sz w:val="18"/>
                <w:szCs w:val="20"/>
                <w:lang w:val="en-US"/>
              </w:rPr>
              <w:t xml:space="preserve">   T2w-SI (no unit)</w:t>
            </w:r>
          </w:p>
        </w:tc>
        <w:tc>
          <w:tcPr>
            <w:tcW w:w="0" w:type="auto"/>
            <w:tcBorders>
              <w:top w:val="dotted" w:sz="4" w:space="0" w:color="000000" w:themeColor="text1"/>
              <w:left w:val="nil"/>
              <w:bottom w:val="dotted" w:sz="4" w:space="0" w:color="000000" w:themeColor="text1"/>
              <w:right w:val="nil"/>
            </w:tcBorders>
            <w:shd w:val="clear" w:color="auto" w:fill="auto"/>
            <w:hideMark/>
          </w:tcPr>
          <w:p w14:paraId="58D89AE0" w14:textId="77777777" w:rsidR="00897CDC" w:rsidRPr="00095192" w:rsidRDefault="00897CDC" w:rsidP="00ED7628">
            <w:pPr>
              <w:autoSpaceDE w:val="0"/>
              <w:autoSpaceDN w:val="0"/>
              <w:adjustRightInd w:val="0"/>
              <w:snapToGrid w:val="0"/>
              <w:spacing w:after="0" w:line="240" w:lineRule="auto"/>
              <w:rPr>
                <w:rFonts w:ascii="Palatino Linotype" w:hAnsi="Palatino Linotype" w:cs="Times New Roman"/>
                <w:color w:val="000000"/>
                <w:sz w:val="18"/>
                <w:szCs w:val="20"/>
                <w:lang w:val="en-US"/>
              </w:rPr>
            </w:pPr>
            <w:r w:rsidRPr="00095192">
              <w:rPr>
                <w:rFonts w:ascii="Palatino Linotype" w:hAnsi="Palatino Linotype" w:cs="Times New Roman"/>
                <w:sz w:val="18"/>
                <w:szCs w:val="20"/>
                <w:lang w:val="en-US"/>
              </w:rPr>
              <w:t>423.6(8.9)</w:t>
            </w:r>
          </w:p>
        </w:tc>
        <w:tc>
          <w:tcPr>
            <w:tcW w:w="1200" w:type="pct"/>
            <w:tcBorders>
              <w:top w:val="dotted" w:sz="4" w:space="0" w:color="000000" w:themeColor="text1"/>
              <w:left w:val="nil"/>
              <w:bottom w:val="dotted" w:sz="4" w:space="0" w:color="000000" w:themeColor="text1"/>
              <w:right w:val="nil"/>
            </w:tcBorders>
            <w:shd w:val="clear" w:color="auto" w:fill="auto"/>
            <w:hideMark/>
          </w:tcPr>
          <w:p w14:paraId="08BA7592" w14:textId="77777777" w:rsidR="00897CDC" w:rsidRPr="00095192" w:rsidRDefault="00897CDC" w:rsidP="00ED7628">
            <w:pPr>
              <w:autoSpaceDE w:val="0"/>
              <w:autoSpaceDN w:val="0"/>
              <w:adjustRightInd w:val="0"/>
              <w:snapToGrid w:val="0"/>
              <w:spacing w:after="0" w:line="240" w:lineRule="auto"/>
              <w:rPr>
                <w:rFonts w:ascii="Palatino Linotype" w:hAnsi="Palatino Linotype" w:cs="Times New Roman"/>
                <w:bCs/>
                <w:color w:val="000000" w:themeColor="text1"/>
                <w:sz w:val="18"/>
                <w:szCs w:val="20"/>
                <w:lang w:val="en-US"/>
              </w:rPr>
            </w:pPr>
            <w:r w:rsidRPr="00095192">
              <w:rPr>
                <w:rFonts w:ascii="Palatino Linotype" w:hAnsi="Palatino Linotype" w:cs="Times New Roman"/>
                <w:sz w:val="18"/>
                <w:szCs w:val="20"/>
                <w:lang w:val="en-US"/>
              </w:rPr>
              <w:t>434.0(9.3)</w:t>
            </w:r>
          </w:p>
        </w:tc>
        <w:tc>
          <w:tcPr>
            <w:tcW w:w="1079" w:type="pct"/>
            <w:tcBorders>
              <w:top w:val="dotted" w:sz="4" w:space="0" w:color="000000" w:themeColor="text1"/>
              <w:left w:val="nil"/>
              <w:bottom w:val="dotted" w:sz="4" w:space="0" w:color="000000" w:themeColor="text1"/>
              <w:right w:val="nil"/>
            </w:tcBorders>
            <w:shd w:val="clear" w:color="auto" w:fill="auto"/>
            <w:hideMark/>
          </w:tcPr>
          <w:p w14:paraId="743D0E9E" w14:textId="77777777" w:rsidR="00897CDC" w:rsidRPr="00095192" w:rsidRDefault="00897CDC" w:rsidP="00ED7628">
            <w:pPr>
              <w:autoSpaceDE w:val="0"/>
              <w:autoSpaceDN w:val="0"/>
              <w:adjustRightInd w:val="0"/>
              <w:snapToGrid w:val="0"/>
              <w:spacing w:after="0" w:line="240" w:lineRule="auto"/>
              <w:rPr>
                <w:rFonts w:ascii="Palatino Linotype" w:hAnsi="Palatino Linotype" w:cs="Times New Roman"/>
                <w:bCs/>
                <w:color w:val="000000" w:themeColor="text1"/>
                <w:sz w:val="18"/>
                <w:szCs w:val="20"/>
                <w:lang w:val="en-US"/>
              </w:rPr>
            </w:pPr>
            <w:r w:rsidRPr="00095192">
              <w:rPr>
                <w:rFonts w:ascii="Palatino Linotype" w:hAnsi="Palatino Linotype" w:cs="Times New Roman"/>
                <w:sz w:val="18"/>
                <w:szCs w:val="20"/>
                <w:lang w:val="en-US"/>
              </w:rPr>
              <w:t>426.4(7.9)</w:t>
            </w:r>
          </w:p>
        </w:tc>
        <w:tc>
          <w:tcPr>
            <w:tcW w:w="915" w:type="pct"/>
            <w:tcBorders>
              <w:top w:val="dotted" w:sz="4" w:space="0" w:color="000000" w:themeColor="text1"/>
              <w:left w:val="nil"/>
              <w:bottom w:val="dotted" w:sz="4" w:space="0" w:color="000000" w:themeColor="text1"/>
              <w:right w:val="nil"/>
            </w:tcBorders>
            <w:shd w:val="clear" w:color="auto" w:fill="auto"/>
            <w:hideMark/>
          </w:tcPr>
          <w:p w14:paraId="6566C685" w14:textId="77777777" w:rsidR="00897CDC" w:rsidRPr="00095192" w:rsidRDefault="00897CDC" w:rsidP="00ED7628">
            <w:pPr>
              <w:autoSpaceDE w:val="0"/>
              <w:autoSpaceDN w:val="0"/>
              <w:adjustRightInd w:val="0"/>
              <w:snapToGrid w:val="0"/>
              <w:spacing w:after="0" w:line="240" w:lineRule="auto"/>
              <w:rPr>
                <w:rFonts w:ascii="Palatino Linotype" w:hAnsi="Palatino Linotype" w:cs="Times New Roman"/>
                <w:bCs/>
                <w:color w:val="000000" w:themeColor="text1"/>
                <w:sz w:val="18"/>
                <w:szCs w:val="20"/>
                <w:lang w:val="en-US"/>
              </w:rPr>
            </w:pPr>
            <w:r w:rsidRPr="00095192">
              <w:rPr>
                <w:rFonts w:ascii="Palatino Linotype" w:hAnsi="Palatino Linotype" w:cs="Times New Roman"/>
                <w:sz w:val="18"/>
                <w:szCs w:val="20"/>
                <w:lang w:val="en-US"/>
              </w:rPr>
              <w:t>421.6(8.7)</w:t>
            </w:r>
          </w:p>
        </w:tc>
      </w:tr>
      <w:tr w:rsidR="00897CDC" w:rsidRPr="00095192" w14:paraId="5F8E2A50" w14:textId="77777777" w:rsidTr="00897CDC">
        <w:trPr>
          <w:jc w:val="center"/>
        </w:trPr>
        <w:tc>
          <w:tcPr>
            <w:tcW w:w="1003" w:type="pct"/>
            <w:tcBorders>
              <w:top w:val="dotted" w:sz="4" w:space="0" w:color="000000" w:themeColor="text1"/>
              <w:left w:val="nil"/>
              <w:bottom w:val="dotted" w:sz="4" w:space="0" w:color="000000" w:themeColor="text1"/>
              <w:right w:val="nil"/>
            </w:tcBorders>
            <w:shd w:val="clear" w:color="auto" w:fill="auto"/>
          </w:tcPr>
          <w:p w14:paraId="4277DA1F" w14:textId="418F8ACC" w:rsidR="00897CDC" w:rsidRPr="00095192" w:rsidRDefault="00897CDC" w:rsidP="00897CDC">
            <w:pPr>
              <w:autoSpaceDE w:val="0"/>
              <w:autoSpaceDN w:val="0"/>
              <w:adjustRightInd w:val="0"/>
              <w:snapToGrid w:val="0"/>
              <w:spacing w:after="0" w:line="240" w:lineRule="auto"/>
              <w:rPr>
                <w:rFonts w:ascii="Palatino Linotype" w:hAnsi="Palatino Linotype" w:cs="Times New Roman"/>
                <w:bCs/>
                <w:color w:val="000000"/>
                <w:sz w:val="18"/>
                <w:szCs w:val="20"/>
                <w:lang w:val="en-US"/>
              </w:rPr>
            </w:pPr>
            <w:r w:rsidRPr="00095192">
              <w:rPr>
                <w:rFonts w:ascii="Palatino Linotype" w:hAnsi="Palatino Linotype" w:cs="Times New Roman"/>
                <w:bCs/>
                <w:color w:val="000000"/>
                <w:sz w:val="18"/>
                <w:szCs w:val="20"/>
                <w:lang w:val="en-US"/>
              </w:rPr>
              <w:t xml:space="preserve">   Dixon (%)</w:t>
            </w:r>
          </w:p>
        </w:tc>
        <w:tc>
          <w:tcPr>
            <w:tcW w:w="0" w:type="auto"/>
            <w:tcBorders>
              <w:top w:val="dotted" w:sz="4" w:space="0" w:color="000000" w:themeColor="text1"/>
              <w:left w:val="nil"/>
              <w:bottom w:val="dotted" w:sz="4" w:space="0" w:color="000000" w:themeColor="text1"/>
              <w:right w:val="nil"/>
            </w:tcBorders>
            <w:shd w:val="clear" w:color="auto" w:fill="auto"/>
          </w:tcPr>
          <w:p w14:paraId="0AF7B407" w14:textId="3ACC9D3C" w:rsidR="00897CDC" w:rsidRPr="00095192" w:rsidRDefault="00897CDC" w:rsidP="00897CDC">
            <w:pPr>
              <w:autoSpaceDE w:val="0"/>
              <w:autoSpaceDN w:val="0"/>
              <w:adjustRightInd w:val="0"/>
              <w:snapToGrid w:val="0"/>
              <w:spacing w:after="0" w:line="240" w:lineRule="auto"/>
              <w:rPr>
                <w:rFonts w:ascii="Palatino Linotype" w:eastAsia="Times New Roman" w:hAnsi="Palatino Linotype" w:cs="Times New Roman"/>
                <w:color w:val="000000"/>
                <w:sz w:val="18"/>
                <w:szCs w:val="20"/>
                <w:lang w:val="en-US" w:eastAsia="en-AU"/>
              </w:rPr>
            </w:pPr>
            <w:r w:rsidRPr="00095192">
              <w:rPr>
                <w:rFonts w:ascii="Palatino Linotype" w:eastAsia="Times New Roman" w:hAnsi="Palatino Linotype" w:cs="Times New Roman"/>
                <w:color w:val="000000"/>
                <w:sz w:val="18"/>
                <w:szCs w:val="20"/>
                <w:lang w:val="en-US" w:eastAsia="en-AU"/>
              </w:rPr>
              <w:t>87.2(0.6)</w:t>
            </w:r>
          </w:p>
        </w:tc>
        <w:tc>
          <w:tcPr>
            <w:tcW w:w="1200" w:type="pct"/>
            <w:tcBorders>
              <w:top w:val="dotted" w:sz="4" w:space="0" w:color="000000" w:themeColor="text1"/>
              <w:left w:val="nil"/>
              <w:bottom w:val="dotted" w:sz="4" w:space="0" w:color="000000" w:themeColor="text1"/>
              <w:right w:val="nil"/>
            </w:tcBorders>
            <w:shd w:val="clear" w:color="auto" w:fill="auto"/>
          </w:tcPr>
          <w:p w14:paraId="5BC21F12" w14:textId="56B8DA91" w:rsidR="00897CDC" w:rsidRPr="00095192" w:rsidRDefault="00897CDC" w:rsidP="00897CDC">
            <w:pPr>
              <w:autoSpaceDE w:val="0"/>
              <w:autoSpaceDN w:val="0"/>
              <w:adjustRightInd w:val="0"/>
              <w:snapToGrid w:val="0"/>
              <w:spacing w:after="0" w:line="240" w:lineRule="auto"/>
              <w:rPr>
                <w:rFonts w:ascii="Palatino Linotype" w:eastAsia="Times New Roman" w:hAnsi="Palatino Linotype" w:cs="Times New Roman"/>
                <w:color w:val="000000"/>
                <w:sz w:val="18"/>
                <w:szCs w:val="20"/>
                <w:lang w:val="en-US" w:eastAsia="en-AU"/>
              </w:rPr>
            </w:pPr>
            <w:r w:rsidRPr="00095192">
              <w:rPr>
                <w:rFonts w:ascii="Palatino Linotype" w:eastAsia="Times New Roman" w:hAnsi="Palatino Linotype" w:cs="Times New Roman"/>
                <w:color w:val="000000"/>
                <w:sz w:val="18"/>
                <w:szCs w:val="20"/>
                <w:lang w:val="en-US" w:eastAsia="en-AU"/>
              </w:rPr>
              <w:t>88.1(0.7)</w:t>
            </w:r>
          </w:p>
        </w:tc>
        <w:tc>
          <w:tcPr>
            <w:tcW w:w="1079" w:type="pct"/>
            <w:tcBorders>
              <w:top w:val="dotted" w:sz="4" w:space="0" w:color="000000" w:themeColor="text1"/>
              <w:left w:val="nil"/>
              <w:bottom w:val="dotted" w:sz="4" w:space="0" w:color="000000" w:themeColor="text1"/>
              <w:right w:val="nil"/>
            </w:tcBorders>
            <w:shd w:val="clear" w:color="auto" w:fill="auto"/>
          </w:tcPr>
          <w:p w14:paraId="412EEE06" w14:textId="0CA5C95E" w:rsidR="00897CDC" w:rsidRPr="00095192" w:rsidRDefault="00897CDC" w:rsidP="00897CDC">
            <w:pPr>
              <w:autoSpaceDE w:val="0"/>
              <w:autoSpaceDN w:val="0"/>
              <w:adjustRightInd w:val="0"/>
              <w:snapToGrid w:val="0"/>
              <w:spacing w:after="0" w:line="240" w:lineRule="auto"/>
              <w:rPr>
                <w:rFonts w:ascii="Palatino Linotype" w:eastAsia="Times New Roman" w:hAnsi="Palatino Linotype" w:cs="Times New Roman"/>
                <w:color w:val="000000"/>
                <w:sz w:val="18"/>
                <w:szCs w:val="20"/>
                <w:lang w:val="en-US" w:eastAsia="en-AU"/>
              </w:rPr>
            </w:pPr>
            <w:r w:rsidRPr="00095192">
              <w:rPr>
                <w:rFonts w:ascii="Palatino Linotype" w:eastAsia="Times New Roman" w:hAnsi="Palatino Linotype" w:cs="Times New Roman"/>
                <w:color w:val="000000"/>
                <w:sz w:val="18"/>
                <w:szCs w:val="20"/>
                <w:lang w:val="en-US" w:eastAsia="en-AU"/>
              </w:rPr>
              <w:t>88.1(0.6)</w:t>
            </w:r>
          </w:p>
        </w:tc>
        <w:tc>
          <w:tcPr>
            <w:tcW w:w="915" w:type="pct"/>
            <w:tcBorders>
              <w:top w:val="dotted" w:sz="4" w:space="0" w:color="000000" w:themeColor="text1"/>
              <w:left w:val="nil"/>
              <w:bottom w:val="dotted" w:sz="4" w:space="0" w:color="000000" w:themeColor="text1"/>
              <w:right w:val="nil"/>
            </w:tcBorders>
            <w:shd w:val="clear" w:color="auto" w:fill="auto"/>
          </w:tcPr>
          <w:p w14:paraId="406E3904" w14:textId="4F2AC2B6" w:rsidR="00897CDC" w:rsidRPr="00095192" w:rsidRDefault="00897CDC" w:rsidP="00897CDC">
            <w:pPr>
              <w:autoSpaceDE w:val="0"/>
              <w:autoSpaceDN w:val="0"/>
              <w:adjustRightInd w:val="0"/>
              <w:snapToGrid w:val="0"/>
              <w:spacing w:after="0" w:line="240" w:lineRule="auto"/>
              <w:rPr>
                <w:rFonts w:ascii="Palatino Linotype" w:eastAsia="Times New Roman" w:hAnsi="Palatino Linotype" w:cs="Times New Roman"/>
                <w:color w:val="000000"/>
                <w:sz w:val="18"/>
                <w:szCs w:val="20"/>
                <w:lang w:val="en-US" w:eastAsia="en-AU"/>
              </w:rPr>
            </w:pPr>
            <w:r w:rsidRPr="00095192">
              <w:rPr>
                <w:rFonts w:ascii="Palatino Linotype" w:eastAsia="Times New Roman" w:hAnsi="Palatino Linotype" w:cs="Times New Roman"/>
                <w:color w:val="000000"/>
                <w:sz w:val="18"/>
                <w:szCs w:val="20"/>
                <w:lang w:val="en-US" w:eastAsia="en-AU"/>
              </w:rPr>
              <w:t>89.4(0.</w:t>
            </w:r>
            <w:proofErr w:type="gramStart"/>
            <w:r w:rsidRPr="00095192">
              <w:rPr>
                <w:rFonts w:ascii="Palatino Linotype" w:eastAsia="Times New Roman" w:hAnsi="Palatino Linotype" w:cs="Times New Roman"/>
                <w:color w:val="000000"/>
                <w:sz w:val="18"/>
                <w:szCs w:val="20"/>
                <w:lang w:val="en-US" w:eastAsia="en-AU"/>
              </w:rPr>
              <w:t>6)*</w:t>
            </w:r>
            <w:proofErr w:type="gramEnd"/>
          </w:p>
        </w:tc>
      </w:tr>
      <w:tr w:rsidR="00897CDC" w:rsidRPr="00095192" w14:paraId="16E066AE" w14:textId="77777777" w:rsidTr="00897CDC">
        <w:trPr>
          <w:jc w:val="center"/>
        </w:trPr>
        <w:tc>
          <w:tcPr>
            <w:tcW w:w="5000" w:type="pct"/>
            <w:gridSpan w:val="5"/>
            <w:tcBorders>
              <w:top w:val="dotted" w:sz="4" w:space="0" w:color="000000" w:themeColor="text1"/>
              <w:left w:val="nil"/>
              <w:bottom w:val="dotted" w:sz="4" w:space="0" w:color="000000" w:themeColor="text1"/>
              <w:right w:val="nil"/>
            </w:tcBorders>
            <w:shd w:val="clear" w:color="auto" w:fill="auto"/>
            <w:hideMark/>
          </w:tcPr>
          <w:p w14:paraId="542B2968" w14:textId="77777777" w:rsidR="00897CDC" w:rsidRPr="00095192" w:rsidRDefault="00897CDC" w:rsidP="00897CDC">
            <w:pPr>
              <w:autoSpaceDE w:val="0"/>
              <w:autoSpaceDN w:val="0"/>
              <w:adjustRightInd w:val="0"/>
              <w:snapToGrid w:val="0"/>
              <w:spacing w:after="0" w:line="240" w:lineRule="auto"/>
              <w:jc w:val="left"/>
              <w:rPr>
                <w:rFonts w:ascii="Palatino Linotype" w:hAnsi="Palatino Linotype" w:cs="Times New Roman"/>
                <w:b/>
                <w:bCs/>
                <w:color w:val="000000"/>
                <w:sz w:val="18"/>
                <w:szCs w:val="20"/>
                <w:lang w:val="en-US"/>
              </w:rPr>
            </w:pPr>
            <w:r w:rsidRPr="00095192">
              <w:rPr>
                <w:rFonts w:ascii="Palatino Linotype" w:hAnsi="Palatino Linotype" w:cs="Times New Roman"/>
                <w:b/>
                <w:bCs/>
                <w:color w:val="000000"/>
                <w:sz w:val="18"/>
                <w:szCs w:val="20"/>
                <w:lang w:val="en-US"/>
              </w:rPr>
              <w:t>Nucleus/annulus ratio</w:t>
            </w:r>
          </w:p>
        </w:tc>
      </w:tr>
      <w:tr w:rsidR="00897CDC" w:rsidRPr="00095192" w14:paraId="23E6CAE4" w14:textId="77777777" w:rsidTr="00897CDC">
        <w:trPr>
          <w:jc w:val="center"/>
        </w:trPr>
        <w:tc>
          <w:tcPr>
            <w:tcW w:w="1003" w:type="pct"/>
            <w:tcBorders>
              <w:top w:val="dotted" w:sz="4" w:space="0" w:color="000000" w:themeColor="text1"/>
              <w:left w:val="nil"/>
              <w:bottom w:val="dotted" w:sz="4" w:space="0" w:color="000000" w:themeColor="text1"/>
              <w:right w:val="nil"/>
            </w:tcBorders>
            <w:shd w:val="clear" w:color="auto" w:fill="auto"/>
            <w:hideMark/>
          </w:tcPr>
          <w:p w14:paraId="39CFEA44" w14:textId="77777777" w:rsidR="00897CDC" w:rsidRPr="00095192" w:rsidRDefault="00897CDC" w:rsidP="00897CDC">
            <w:pPr>
              <w:autoSpaceDE w:val="0"/>
              <w:autoSpaceDN w:val="0"/>
              <w:adjustRightInd w:val="0"/>
              <w:snapToGrid w:val="0"/>
              <w:spacing w:after="0" w:line="240" w:lineRule="auto"/>
              <w:rPr>
                <w:rFonts w:ascii="Palatino Linotype" w:hAnsi="Palatino Linotype" w:cs="Times New Roman"/>
                <w:bCs/>
                <w:color w:val="000000"/>
                <w:sz w:val="18"/>
                <w:szCs w:val="20"/>
                <w:lang w:val="en-US"/>
              </w:rPr>
            </w:pPr>
            <w:r w:rsidRPr="00095192">
              <w:rPr>
                <w:rFonts w:ascii="Palatino Linotype" w:hAnsi="Palatino Linotype" w:cs="Times New Roman"/>
                <w:bCs/>
                <w:color w:val="000000"/>
                <w:sz w:val="18"/>
                <w:szCs w:val="20"/>
                <w:lang w:val="en-US"/>
              </w:rPr>
              <w:t xml:space="preserve">   T2-mapping (ms)</w:t>
            </w:r>
          </w:p>
        </w:tc>
        <w:tc>
          <w:tcPr>
            <w:tcW w:w="0" w:type="auto"/>
            <w:tcBorders>
              <w:top w:val="dotted" w:sz="4" w:space="0" w:color="000000" w:themeColor="text1"/>
              <w:left w:val="nil"/>
              <w:bottom w:val="dotted" w:sz="4" w:space="0" w:color="000000" w:themeColor="text1"/>
              <w:right w:val="nil"/>
            </w:tcBorders>
            <w:shd w:val="clear" w:color="auto" w:fill="auto"/>
            <w:hideMark/>
          </w:tcPr>
          <w:p w14:paraId="785B105C" w14:textId="77777777" w:rsidR="00897CDC" w:rsidRPr="00095192" w:rsidRDefault="00897CDC" w:rsidP="00897CDC">
            <w:pPr>
              <w:autoSpaceDE w:val="0"/>
              <w:autoSpaceDN w:val="0"/>
              <w:adjustRightInd w:val="0"/>
              <w:snapToGrid w:val="0"/>
              <w:spacing w:after="0" w:line="240" w:lineRule="auto"/>
              <w:rPr>
                <w:rFonts w:ascii="Palatino Linotype" w:hAnsi="Palatino Linotype" w:cs="Times New Roman"/>
                <w:color w:val="000000"/>
                <w:sz w:val="18"/>
                <w:szCs w:val="20"/>
                <w:lang w:val="en-US"/>
              </w:rPr>
            </w:pPr>
            <w:r w:rsidRPr="00095192">
              <w:rPr>
                <w:rFonts w:ascii="Palatino Linotype" w:eastAsia="Times New Roman" w:hAnsi="Palatino Linotype" w:cs="Times New Roman"/>
                <w:color w:val="000000"/>
                <w:sz w:val="18"/>
                <w:szCs w:val="20"/>
                <w:lang w:val="en-US" w:eastAsia="en-AU"/>
              </w:rPr>
              <w:t>1.40(0.03)</w:t>
            </w:r>
          </w:p>
        </w:tc>
        <w:tc>
          <w:tcPr>
            <w:tcW w:w="1200" w:type="pct"/>
            <w:tcBorders>
              <w:top w:val="dotted" w:sz="4" w:space="0" w:color="000000" w:themeColor="text1"/>
              <w:left w:val="nil"/>
              <w:bottom w:val="dotted" w:sz="4" w:space="0" w:color="000000" w:themeColor="text1"/>
              <w:right w:val="nil"/>
            </w:tcBorders>
            <w:shd w:val="clear" w:color="auto" w:fill="auto"/>
            <w:hideMark/>
          </w:tcPr>
          <w:p w14:paraId="588F9B92" w14:textId="77777777" w:rsidR="00897CDC" w:rsidRPr="00095192" w:rsidRDefault="00897CDC" w:rsidP="00897CDC">
            <w:pPr>
              <w:autoSpaceDE w:val="0"/>
              <w:autoSpaceDN w:val="0"/>
              <w:adjustRightInd w:val="0"/>
              <w:snapToGrid w:val="0"/>
              <w:spacing w:after="0" w:line="240" w:lineRule="auto"/>
              <w:rPr>
                <w:rFonts w:ascii="Palatino Linotype" w:hAnsi="Palatino Linotype" w:cs="Times New Roman"/>
                <w:bCs/>
                <w:color w:val="000000" w:themeColor="text1"/>
                <w:sz w:val="18"/>
                <w:szCs w:val="20"/>
                <w:lang w:val="en-US"/>
              </w:rPr>
            </w:pPr>
            <w:r w:rsidRPr="00095192">
              <w:rPr>
                <w:rFonts w:ascii="Palatino Linotype" w:eastAsia="Times New Roman" w:hAnsi="Palatino Linotype" w:cs="Times New Roman"/>
                <w:color w:val="000000"/>
                <w:sz w:val="18"/>
                <w:szCs w:val="20"/>
                <w:lang w:val="en-US" w:eastAsia="en-AU"/>
              </w:rPr>
              <w:t>1.49(0.</w:t>
            </w:r>
            <w:proofErr w:type="gramStart"/>
            <w:r w:rsidRPr="00095192">
              <w:rPr>
                <w:rFonts w:ascii="Palatino Linotype" w:eastAsia="Times New Roman" w:hAnsi="Palatino Linotype" w:cs="Times New Roman"/>
                <w:color w:val="000000"/>
                <w:sz w:val="18"/>
                <w:szCs w:val="20"/>
                <w:lang w:val="en-US" w:eastAsia="en-AU"/>
              </w:rPr>
              <w:t>03)*</w:t>
            </w:r>
            <w:proofErr w:type="gramEnd"/>
          </w:p>
        </w:tc>
        <w:tc>
          <w:tcPr>
            <w:tcW w:w="1079" w:type="pct"/>
            <w:tcBorders>
              <w:top w:val="dotted" w:sz="4" w:space="0" w:color="000000" w:themeColor="text1"/>
              <w:left w:val="nil"/>
              <w:bottom w:val="dotted" w:sz="4" w:space="0" w:color="000000" w:themeColor="text1"/>
              <w:right w:val="nil"/>
            </w:tcBorders>
            <w:shd w:val="clear" w:color="auto" w:fill="auto"/>
            <w:hideMark/>
          </w:tcPr>
          <w:p w14:paraId="18501D83" w14:textId="77777777" w:rsidR="00897CDC" w:rsidRPr="00095192" w:rsidRDefault="00897CDC" w:rsidP="00897CDC">
            <w:pPr>
              <w:autoSpaceDE w:val="0"/>
              <w:autoSpaceDN w:val="0"/>
              <w:adjustRightInd w:val="0"/>
              <w:snapToGrid w:val="0"/>
              <w:spacing w:after="0" w:line="240" w:lineRule="auto"/>
              <w:rPr>
                <w:rFonts w:ascii="Palatino Linotype" w:hAnsi="Palatino Linotype" w:cs="Times New Roman"/>
                <w:bCs/>
                <w:color w:val="000000" w:themeColor="text1"/>
                <w:sz w:val="18"/>
                <w:szCs w:val="20"/>
                <w:lang w:val="en-US"/>
              </w:rPr>
            </w:pPr>
            <w:r w:rsidRPr="00095192">
              <w:rPr>
                <w:rFonts w:ascii="Palatino Linotype" w:eastAsia="Times New Roman" w:hAnsi="Palatino Linotype" w:cs="Times New Roman"/>
                <w:color w:val="000000"/>
                <w:sz w:val="18"/>
                <w:szCs w:val="20"/>
                <w:lang w:val="en-US" w:eastAsia="en-AU"/>
              </w:rPr>
              <w:t>1.48(0.</w:t>
            </w:r>
            <w:proofErr w:type="gramStart"/>
            <w:r w:rsidRPr="00095192">
              <w:rPr>
                <w:rFonts w:ascii="Palatino Linotype" w:eastAsia="Times New Roman" w:hAnsi="Palatino Linotype" w:cs="Times New Roman"/>
                <w:color w:val="000000"/>
                <w:sz w:val="18"/>
                <w:szCs w:val="20"/>
                <w:lang w:val="en-US" w:eastAsia="en-AU"/>
              </w:rPr>
              <w:t>02)*</w:t>
            </w:r>
            <w:proofErr w:type="gramEnd"/>
          </w:p>
        </w:tc>
        <w:tc>
          <w:tcPr>
            <w:tcW w:w="915" w:type="pct"/>
            <w:tcBorders>
              <w:top w:val="dotted" w:sz="4" w:space="0" w:color="000000" w:themeColor="text1"/>
              <w:left w:val="nil"/>
              <w:bottom w:val="dotted" w:sz="4" w:space="0" w:color="000000" w:themeColor="text1"/>
              <w:right w:val="nil"/>
            </w:tcBorders>
            <w:shd w:val="clear" w:color="auto" w:fill="auto"/>
            <w:hideMark/>
          </w:tcPr>
          <w:p w14:paraId="5488EC87" w14:textId="77777777" w:rsidR="00897CDC" w:rsidRPr="00095192" w:rsidRDefault="00897CDC" w:rsidP="00897CDC">
            <w:pPr>
              <w:autoSpaceDE w:val="0"/>
              <w:autoSpaceDN w:val="0"/>
              <w:adjustRightInd w:val="0"/>
              <w:snapToGrid w:val="0"/>
              <w:spacing w:after="0" w:line="240" w:lineRule="auto"/>
              <w:rPr>
                <w:rFonts w:ascii="Palatino Linotype" w:hAnsi="Palatino Linotype" w:cs="Times New Roman"/>
                <w:bCs/>
                <w:color w:val="000000" w:themeColor="text1"/>
                <w:sz w:val="18"/>
                <w:szCs w:val="20"/>
                <w:lang w:val="en-US"/>
              </w:rPr>
            </w:pPr>
            <w:r w:rsidRPr="00095192">
              <w:rPr>
                <w:rFonts w:ascii="Palatino Linotype" w:eastAsia="Times New Roman" w:hAnsi="Palatino Linotype" w:cs="Times New Roman"/>
                <w:color w:val="000000"/>
                <w:sz w:val="18"/>
                <w:szCs w:val="20"/>
                <w:lang w:val="en-US" w:eastAsia="en-AU"/>
              </w:rPr>
              <w:t>1.51(0.</w:t>
            </w:r>
            <w:proofErr w:type="gramStart"/>
            <w:r w:rsidRPr="00095192">
              <w:rPr>
                <w:rFonts w:ascii="Palatino Linotype" w:eastAsia="Times New Roman" w:hAnsi="Palatino Linotype" w:cs="Times New Roman"/>
                <w:color w:val="000000"/>
                <w:sz w:val="18"/>
                <w:szCs w:val="20"/>
                <w:lang w:val="en-US" w:eastAsia="en-AU"/>
              </w:rPr>
              <w:t>03)†</w:t>
            </w:r>
            <w:proofErr w:type="gramEnd"/>
          </w:p>
        </w:tc>
      </w:tr>
      <w:tr w:rsidR="00897CDC" w:rsidRPr="00095192" w14:paraId="1BA92EA0" w14:textId="77777777" w:rsidTr="00897CDC">
        <w:trPr>
          <w:jc w:val="center"/>
        </w:trPr>
        <w:tc>
          <w:tcPr>
            <w:tcW w:w="1003" w:type="pct"/>
            <w:tcBorders>
              <w:top w:val="dotted" w:sz="4" w:space="0" w:color="000000" w:themeColor="text1"/>
              <w:left w:val="nil"/>
              <w:bottom w:val="dotted" w:sz="4" w:space="0" w:color="000000" w:themeColor="text1"/>
              <w:right w:val="nil"/>
            </w:tcBorders>
            <w:shd w:val="clear" w:color="auto" w:fill="auto"/>
          </w:tcPr>
          <w:p w14:paraId="5EF3E643" w14:textId="50086010" w:rsidR="00897CDC" w:rsidRPr="00095192" w:rsidRDefault="00897CDC" w:rsidP="00897CDC">
            <w:pPr>
              <w:autoSpaceDE w:val="0"/>
              <w:autoSpaceDN w:val="0"/>
              <w:adjustRightInd w:val="0"/>
              <w:snapToGrid w:val="0"/>
              <w:spacing w:after="0" w:line="240" w:lineRule="auto"/>
              <w:rPr>
                <w:rFonts w:ascii="Palatino Linotype" w:hAnsi="Palatino Linotype" w:cs="Times New Roman"/>
                <w:bCs/>
                <w:color w:val="000000"/>
                <w:sz w:val="18"/>
                <w:szCs w:val="20"/>
                <w:lang w:val="en-US"/>
              </w:rPr>
            </w:pPr>
            <w:r w:rsidRPr="00095192">
              <w:rPr>
                <w:rFonts w:ascii="Palatino Linotype" w:hAnsi="Palatino Linotype" w:cs="Times New Roman"/>
                <w:bCs/>
                <w:color w:val="000000"/>
                <w:sz w:val="18"/>
                <w:szCs w:val="20"/>
                <w:lang w:val="en-US"/>
              </w:rPr>
              <w:t xml:space="preserve">   T2w-SI (no unit)</w:t>
            </w:r>
          </w:p>
        </w:tc>
        <w:tc>
          <w:tcPr>
            <w:tcW w:w="0" w:type="auto"/>
            <w:tcBorders>
              <w:top w:val="dotted" w:sz="4" w:space="0" w:color="000000" w:themeColor="text1"/>
              <w:left w:val="nil"/>
              <w:bottom w:val="dotted" w:sz="4" w:space="0" w:color="000000" w:themeColor="text1"/>
              <w:right w:val="nil"/>
            </w:tcBorders>
            <w:shd w:val="clear" w:color="auto" w:fill="auto"/>
          </w:tcPr>
          <w:p w14:paraId="4DD59492" w14:textId="6C5A2FFC" w:rsidR="00897CDC" w:rsidRPr="00095192" w:rsidRDefault="00897CDC" w:rsidP="00897CDC">
            <w:pPr>
              <w:autoSpaceDE w:val="0"/>
              <w:autoSpaceDN w:val="0"/>
              <w:adjustRightInd w:val="0"/>
              <w:snapToGrid w:val="0"/>
              <w:spacing w:after="0" w:line="240" w:lineRule="auto"/>
              <w:rPr>
                <w:rFonts w:ascii="Palatino Linotype" w:eastAsia="Times New Roman" w:hAnsi="Palatino Linotype" w:cs="Times New Roman"/>
                <w:color w:val="000000"/>
                <w:sz w:val="18"/>
                <w:szCs w:val="20"/>
                <w:lang w:val="en-US" w:eastAsia="en-AU"/>
              </w:rPr>
            </w:pPr>
            <w:r w:rsidRPr="00095192">
              <w:rPr>
                <w:rFonts w:ascii="Palatino Linotype" w:hAnsi="Palatino Linotype" w:cs="Times New Roman"/>
                <w:sz w:val="18"/>
                <w:szCs w:val="20"/>
                <w:lang w:val="en-US"/>
              </w:rPr>
              <w:t>3.31(0.07)</w:t>
            </w:r>
          </w:p>
        </w:tc>
        <w:tc>
          <w:tcPr>
            <w:tcW w:w="1200" w:type="pct"/>
            <w:tcBorders>
              <w:top w:val="dotted" w:sz="4" w:space="0" w:color="000000" w:themeColor="text1"/>
              <w:left w:val="nil"/>
              <w:bottom w:val="dotted" w:sz="4" w:space="0" w:color="000000" w:themeColor="text1"/>
              <w:right w:val="nil"/>
            </w:tcBorders>
            <w:shd w:val="clear" w:color="auto" w:fill="auto"/>
          </w:tcPr>
          <w:p w14:paraId="15B18506" w14:textId="5AEFBF25" w:rsidR="00897CDC" w:rsidRPr="00095192" w:rsidRDefault="00897CDC" w:rsidP="00897CDC">
            <w:pPr>
              <w:autoSpaceDE w:val="0"/>
              <w:autoSpaceDN w:val="0"/>
              <w:adjustRightInd w:val="0"/>
              <w:snapToGrid w:val="0"/>
              <w:spacing w:after="0" w:line="240" w:lineRule="auto"/>
              <w:rPr>
                <w:rFonts w:ascii="Palatino Linotype" w:eastAsia="Times New Roman" w:hAnsi="Palatino Linotype" w:cs="Times New Roman"/>
                <w:color w:val="000000"/>
                <w:sz w:val="18"/>
                <w:szCs w:val="20"/>
                <w:lang w:val="en-US" w:eastAsia="en-AU"/>
              </w:rPr>
            </w:pPr>
            <w:r w:rsidRPr="00095192">
              <w:rPr>
                <w:rFonts w:ascii="Palatino Linotype" w:hAnsi="Palatino Linotype" w:cs="Times New Roman"/>
                <w:sz w:val="18"/>
                <w:szCs w:val="20"/>
                <w:lang w:val="en-US"/>
              </w:rPr>
              <w:t>3.29(0.07)</w:t>
            </w:r>
          </w:p>
        </w:tc>
        <w:tc>
          <w:tcPr>
            <w:tcW w:w="1079" w:type="pct"/>
            <w:tcBorders>
              <w:top w:val="dotted" w:sz="4" w:space="0" w:color="000000" w:themeColor="text1"/>
              <w:left w:val="nil"/>
              <w:bottom w:val="dotted" w:sz="4" w:space="0" w:color="000000" w:themeColor="text1"/>
              <w:right w:val="nil"/>
            </w:tcBorders>
            <w:shd w:val="clear" w:color="auto" w:fill="auto"/>
          </w:tcPr>
          <w:p w14:paraId="564904CE" w14:textId="3A84DE29" w:rsidR="00897CDC" w:rsidRPr="00095192" w:rsidRDefault="00897CDC" w:rsidP="00897CDC">
            <w:pPr>
              <w:autoSpaceDE w:val="0"/>
              <w:autoSpaceDN w:val="0"/>
              <w:adjustRightInd w:val="0"/>
              <w:snapToGrid w:val="0"/>
              <w:spacing w:after="0" w:line="240" w:lineRule="auto"/>
              <w:rPr>
                <w:rFonts w:ascii="Palatino Linotype" w:eastAsia="Times New Roman" w:hAnsi="Palatino Linotype" w:cs="Times New Roman"/>
                <w:color w:val="000000"/>
                <w:sz w:val="18"/>
                <w:szCs w:val="20"/>
                <w:lang w:val="en-US" w:eastAsia="en-AU"/>
              </w:rPr>
            </w:pPr>
            <w:r w:rsidRPr="00095192">
              <w:rPr>
                <w:rFonts w:ascii="Palatino Linotype" w:hAnsi="Palatino Linotype" w:cs="Times New Roman"/>
                <w:sz w:val="18"/>
                <w:szCs w:val="20"/>
                <w:lang w:val="en-US"/>
              </w:rPr>
              <w:t>3.46(0.06)</w:t>
            </w:r>
          </w:p>
        </w:tc>
        <w:tc>
          <w:tcPr>
            <w:tcW w:w="915" w:type="pct"/>
            <w:tcBorders>
              <w:top w:val="dotted" w:sz="4" w:space="0" w:color="000000" w:themeColor="text1"/>
              <w:left w:val="nil"/>
              <w:bottom w:val="dotted" w:sz="4" w:space="0" w:color="000000" w:themeColor="text1"/>
              <w:right w:val="nil"/>
            </w:tcBorders>
            <w:shd w:val="clear" w:color="auto" w:fill="auto"/>
          </w:tcPr>
          <w:p w14:paraId="4A4A3391" w14:textId="164B9E11" w:rsidR="00897CDC" w:rsidRPr="00095192" w:rsidRDefault="00897CDC" w:rsidP="00897CDC">
            <w:pPr>
              <w:autoSpaceDE w:val="0"/>
              <w:autoSpaceDN w:val="0"/>
              <w:adjustRightInd w:val="0"/>
              <w:snapToGrid w:val="0"/>
              <w:spacing w:after="0" w:line="240" w:lineRule="auto"/>
              <w:rPr>
                <w:rFonts w:ascii="Palatino Linotype" w:eastAsia="Times New Roman" w:hAnsi="Palatino Linotype" w:cs="Times New Roman"/>
                <w:color w:val="000000"/>
                <w:sz w:val="18"/>
                <w:szCs w:val="20"/>
                <w:lang w:val="en-US" w:eastAsia="en-AU"/>
              </w:rPr>
            </w:pPr>
            <w:r w:rsidRPr="00095192">
              <w:rPr>
                <w:rFonts w:ascii="Palatino Linotype" w:hAnsi="Palatino Linotype" w:cs="Times New Roman"/>
                <w:sz w:val="18"/>
                <w:szCs w:val="20"/>
                <w:lang w:val="en-US"/>
              </w:rPr>
              <w:t>3.27(0.07)</w:t>
            </w:r>
          </w:p>
        </w:tc>
      </w:tr>
      <w:tr w:rsidR="00897CDC" w:rsidRPr="00095192" w14:paraId="5455E57F" w14:textId="77777777" w:rsidTr="00897CDC">
        <w:trPr>
          <w:jc w:val="center"/>
        </w:trPr>
        <w:tc>
          <w:tcPr>
            <w:tcW w:w="1003" w:type="pct"/>
            <w:tcBorders>
              <w:top w:val="dotted" w:sz="4" w:space="0" w:color="000000" w:themeColor="text1"/>
              <w:left w:val="nil"/>
              <w:bottom w:val="single" w:sz="8" w:space="0" w:color="auto"/>
              <w:right w:val="nil"/>
            </w:tcBorders>
            <w:shd w:val="clear" w:color="auto" w:fill="auto"/>
          </w:tcPr>
          <w:p w14:paraId="3474C3D7" w14:textId="2A3E0F86" w:rsidR="00897CDC" w:rsidRPr="00095192" w:rsidRDefault="00897CDC" w:rsidP="00897CDC">
            <w:pPr>
              <w:autoSpaceDE w:val="0"/>
              <w:autoSpaceDN w:val="0"/>
              <w:adjustRightInd w:val="0"/>
              <w:snapToGrid w:val="0"/>
              <w:spacing w:after="0" w:line="240" w:lineRule="auto"/>
              <w:rPr>
                <w:rFonts w:ascii="Palatino Linotype" w:hAnsi="Palatino Linotype" w:cs="Times New Roman"/>
                <w:bCs/>
                <w:color w:val="000000"/>
                <w:sz w:val="18"/>
                <w:szCs w:val="20"/>
                <w:lang w:val="en-US"/>
              </w:rPr>
            </w:pPr>
            <w:r w:rsidRPr="00095192">
              <w:rPr>
                <w:rFonts w:ascii="Palatino Linotype" w:hAnsi="Palatino Linotype" w:cs="Times New Roman"/>
                <w:bCs/>
                <w:color w:val="000000"/>
                <w:sz w:val="18"/>
                <w:szCs w:val="20"/>
                <w:lang w:val="en-US"/>
              </w:rPr>
              <w:t xml:space="preserve">   Dixon (%)</w:t>
            </w:r>
          </w:p>
        </w:tc>
        <w:tc>
          <w:tcPr>
            <w:tcW w:w="0" w:type="auto"/>
            <w:tcBorders>
              <w:top w:val="dotted" w:sz="4" w:space="0" w:color="000000" w:themeColor="text1"/>
              <w:left w:val="nil"/>
              <w:bottom w:val="single" w:sz="8" w:space="0" w:color="auto"/>
              <w:right w:val="nil"/>
            </w:tcBorders>
            <w:shd w:val="clear" w:color="auto" w:fill="auto"/>
          </w:tcPr>
          <w:p w14:paraId="7E89D682" w14:textId="29E64187" w:rsidR="00897CDC" w:rsidRPr="00095192" w:rsidRDefault="00897CDC" w:rsidP="00897CDC">
            <w:pPr>
              <w:autoSpaceDE w:val="0"/>
              <w:autoSpaceDN w:val="0"/>
              <w:adjustRightInd w:val="0"/>
              <w:snapToGrid w:val="0"/>
              <w:spacing w:after="0" w:line="240" w:lineRule="auto"/>
              <w:rPr>
                <w:rFonts w:ascii="Palatino Linotype" w:hAnsi="Palatino Linotype" w:cs="Times New Roman"/>
                <w:color w:val="000000"/>
                <w:sz w:val="18"/>
                <w:szCs w:val="20"/>
                <w:lang w:val="en-US"/>
              </w:rPr>
            </w:pPr>
            <w:r w:rsidRPr="00095192">
              <w:rPr>
                <w:rFonts w:ascii="Palatino Linotype" w:eastAsia="Times New Roman" w:hAnsi="Palatino Linotype" w:cs="Times New Roman"/>
                <w:color w:val="000000"/>
                <w:sz w:val="18"/>
                <w:szCs w:val="20"/>
                <w:lang w:val="en-US" w:eastAsia="en-AU"/>
              </w:rPr>
              <w:t>1.01(0.00)</w:t>
            </w:r>
          </w:p>
        </w:tc>
        <w:tc>
          <w:tcPr>
            <w:tcW w:w="1200" w:type="pct"/>
            <w:tcBorders>
              <w:top w:val="dotted" w:sz="4" w:space="0" w:color="000000" w:themeColor="text1"/>
              <w:left w:val="nil"/>
              <w:bottom w:val="single" w:sz="8" w:space="0" w:color="auto"/>
              <w:right w:val="nil"/>
            </w:tcBorders>
            <w:shd w:val="clear" w:color="auto" w:fill="auto"/>
          </w:tcPr>
          <w:p w14:paraId="08F73D67" w14:textId="016C9437" w:rsidR="00897CDC" w:rsidRPr="00095192" w:rsidRDefault="00897CDC" w:rsidP="00897CDC">
            <w:pPr>
              <w:autoSpaceDE w:val="0"/>
              <w:autoSpaceDN w:val="0"/>
              <w:adjustRightInd w:val="0"/>
              <w:snapToGrid w:val="0"/>
              <w:spacing w:after="0" w:line="240" w:lineRule="auto"/>
              <w:rPr>
                <w:rFonts w:ascii="Palatino Linotype" w:hAnsi="Palatino Linotype" w:cs="Times New Roman"/>
                <w:color w:val="000000"/>
                <w:sz w:val="18"/>
                <w:szCs w:val="20"/>
                <w:lang w:val="en-US"/>
              </w:rPr>
            </w:pPr>
            <w:r w:rsidRPr="00095192">
              <w:rPr>
                <w:rFonts w:ascii="Palatino Linotype" w:eastAsia="Times New Roman" w:hAnsi="Palatino Linotype" w:cs="Times New Roman"/>
                <w:color w:val="000000"/>
                <w:sz w:val="18"/>
                <w:szCs w:val="20"/>
                <w:lang w:val="en-US" w:eastAsia="en-AU"/>
              </w:rPr>
              <w:t>1.00(0.00)</w:t>
            </w:r>
          </w:p>
        </w:tc>
        <w:tc>
          <w:tcPr>
            <w:tcW w:w="1079" w:type="pct"/>
            <w:tcBorders>
              <w:top w:val="dotted" w:sz="4" w:space="0" w:color="000000" w:themeColor="text1"/>
              <w:left w:val="nil"/>
              <w:bottom w:val="single" w:sz="8" w:space="0" w:color="auto"/>
              <w:right w:val="nil"/>
            </w:tcBorders>
            <w:shd w:val="clear" w:color="auto" w:fill="auto"/>
          </w:tcPr>
          <w:p w14:paraId="0FFB5BC8" w14:textId="3D7EAFFD" w:rsidR="00897CDC" w:rsidRPr="00095192" w:rsidRDefault="00897CDC" w:rsidP="00897CDC">
            <w:pPr>
              <w:autoSpaceDE w:val="0"/>
              <w:autoSpaceDN w:val="0"/>
              <w:adjustRightInd w:val="0"/>
              <w:snapToGrid w:val="0"/>
              <w:spacing w:after="0" w:line="240" w:lineRule="auto"/>
              <w:rPr>
                <w:rFonts w:ascii="Palatino Linotype" w:hAnsi="Palatino Linotype" w:cs="Times New Roman"/>
                <w:bCs/>
                <w:color w:val="000000" w:themeColor="text1"/>
                <w:sz w:val="18"/>
                <w:szCs w:val="20"/>
                <w:lang w:val="en-US"/>
              </w:rPr>
            </w:pPr>
            <w:r w:rsidRPr="00095192">
              <w:rPr>
                <w:rFonts w:ascii="Palatino Linotype" w:eastAsia="Times New Roman" w:hAnsi="Palatino Linotype" w:cs="Times New Roman"/>
                <w:color w:val="000000"/>
                <w:sz w:val="18"/>
                <w:szCs w:val="20"/>
                <w:lang w:val="en-US" w:eastAsia="en-AU"/>
              </w:rPr>
              <w:t>1.01(0.00)</w:t>
            </w:r>
          </w:p>
        </w:tc>
        <w:tc>
          <w:tcPr>
            <w:tcW w:w="915" w:type="pct"/>
            <w:tcBorders>
              <w:top w:val="dotted" w:sz="4" w:space="0" w:color="000000" w:themeColor="text1"/>
              <w:left w:val="nil"/>
              <w:bottom w:val="single" w:sz="8" w:space="0" w:color="auto"/>
              <w:right w:val="nil"/>
            </w:tcBorders>
            <w:shd w:val="clear" w:color="auto" w:fill="auto"/>
          </w:tcPr>
          <w:p w14:paraId="38FCC672" w14:textId="4032449E" w:rsidR="00897CDC" w:rsidRPr="00095192" w:rsidRDefault="00897CDC" w:rsidP="00897CDC">
            <w:pPr>
              <w:autoSpaceDE w:val="0"/>
              <w:autoSpaceDN w:val="0"/>
              <w:adjustRightInd w:val="0"/>
              <w:snapToGrid w:val="0"/>
              <w:spacing w:after="0" w:line="240" w:lineRule="auto"/>
              <w:rPr>
                <w:rFonts w:ascii="Palatino Linotype" w:hAnsi="Palatino Linotype" w:cs="Times New Roman"/>
                <w:bCs/>
                <w:color w:val="000000" w:themeColor="text1"/>
                <w:sz w:val="18"/>
                <w:szCs w:val="20"/>
                <w:lang w:val="en-US"/>
              </w:rPr>
            </w:pPr>
            <w:r w:rsidRPr="00095192">
              <w:rPr>
                <w:rFonts w:ascii="Palatino Linotype" w:eastAsia="Times New Roman" w:hAnsi="Palatino Linotype" w:cs="Times New Roman"/>
                <w:color w:val="000000"/>
                <w:sz w:val="18"/>
                <w:szCs w:val="20"/>
                <w:lang w:val="en-US" w:eastAsia="en-AU"/>
              </w:rPr>
              <w:t>1.01(0.00)</w:t>
            </w:r>
          </w:p>
        </w:tc>
      </w:tr>
    </w:tbl>
    <w:p w14:paraId="7E520A0E" w14:textId="2130BA8B" w:rsidR="00095192" w:rsidRDefault="00835833" w:rsidP="00095192">
      <w:pPr>
        <w:pStyle w:val="MDPI43tablefooter"/>
        <w:ind w:left="425" w:right="425"/>
      </w:pPr>
      <w:r w:rsidRPr="00095192">
        <w:t>Values are mean (SD). *: p &lt;0.05; †: p &lt;0.01; ‡: p &lt;0.001 and indicate significance of difference to the sedentary group. Data from all IVDs T12/L1 to L5/S1 presented. IVD: intervertebral disc; T2: relaxation time; T2w-SI: T2-weighted signal intensity. Data on the impact of running</w:t>
      </w:r>
      <w:r w:rsidRPr="00095192">
        <w:fldChar w:fldCharType="begin"/>
      </w:r>
      <w:r w:rsidRPr="00095192">
        <w:instrText xml:space="preserve"> ADDIN ZOTERO_ITEM CSL_CITATION {"citationID":"VnpbdyYA","properties":{"formattedCitation":"\\super 9\\nosupersub{}","plainCitation":"9","noteIndex":0},"citationItems":[{"id":2202,"uris":["http://zotero.org/users/212464/items/EUEJKMHV"],"uri":["http://zotero.org/users/212464/items/EUEJKMHV"],"itemData":{"id":2202,"type":"article-journal","title":"Running exercise strengthens the intervertebral disc","container-title":"Scientific Reports","page":"45975","volume":"7","source":"CrossRef","DOI":"10.1038/srep45975","ISSN":"2045-2322","journalAbbreviation":"Sci Rep","author":[{"family":"Belavý","given":"Daniel L."},{"family":"Quittner","given":"Matthew J."},{"family":"Ridgers","given":"Nicola"},{"family":"Ling","given":"Yuan"},{"family":"Connell","given":"David"},{"family":"Rantalainen","given":"Timo"}],"issued":{"date-parts":[["2017",4,19]]}}}],"schema":"https://github.com/citation-style-language/schema/raw/master/csl-citation.json"} </w:instrText>
      </w:r>
      <w:r w:rsidRPr="00095192">
        <w:fldChar w:fldCharType="separate"/>
      </w:r>
      <w:r w:rsidRPr="00095192">
        <w:rPr>
          <w:vertAlign w:val="superscript"/>
        </w:rPr>
        <w:t>9</w:t>
      </w:r>
      <w:r w:rsidRPr="00095192">
        <w:fldChar w:fldCharType="end"/>
      </w:r>
      <w:r w:rsidRPr="00095192">
        <w:t xml:space="preserve"> and cycling</w:t>
      </w:r>
      <w:r w:rsidRPr="00095192">
        <w:fldChar w:fldCharType="begin"/>
      </w:r>
      <w:r w:rsidRPr="00095192">
        <w:instrText xml:space="preserve"> ADDIN ZOTERO_ITEM CSL_CITATION {"citationID":"CBUXFFxU","properties":{"formattedCitation":"\\super 10\\nosupersub{}","plainCitation":"10","noteIndex":0},"citationItems":[{"id":5328,"uris":["http://zotero.org/users/212464/items/VRBQXYJK"],"uri":["http://zotero.org/users/212464/items/VRBQXYJK"],"itemData":{"id":5328,"type":"article-journal","title":"Beneficial intervertebral disc and muscle adaptations in high-volume road cyclists","container-title":"Medicine and Science in Sports and Exercise","page":"in press","source":"PubMed","abstract":"PURPOSE: Cycling is widely practiced as a mode of transportation, a leisurely pursuit and a competitive sport. Approximately half of cyclists experience low back pain. Yet, there has been limited study of spine tissue adaptations due to cycling.\nMETHODS: To investigate potential risk factors for spinal pain, we compared 18 high-volume cyclists (&gt;150 km per week for ≥5 years) to 18 height-matched non-sporting referents. Participants had no history of spinal pathology. Magnetic resonance imaging was used to quantify intervertebral disc (IVD) morphology and hydration; and psoas, erector spinae, quadratus lumborum and multifidus muscle size and fat content. Endurance of trunk muscles (flexors and extensors) were measured and physical activity levels assessed objectively using accelerometry.\nRESULTS: Cyclists IVD showed prolonged T2-time (+10.0(17.3)%; p=0.021), implying better IVD hydration and glycosaminoglycan content, compared to referents. Lower thoracic and upper lumbar IVD T2 time were longer in cyclists (p≤0.029) but not at the lower lumbar spine. T2-time differences were larger in the nucleus pulposus compared to the annulus fibrosus. Cyclists showed larger psoas muscles with less fat content compared to referents. Cyclists also exhibited longer isometric trunk endurance times (p≤0.036) and higher physical activity levels (osteogenic index, p=0.038).CONCLUSIONDespite previous studies reporting higher than average prevalence of back pain in cyclists, the high-volume road cyclists in our cohort showed no anatomical or functional deficiency in spinal structures. In contrast, we found evidence for beneficial adaptations to the intervertebral discs and psoas muscles in high-volume cyclists compared to referents. These data support the notion that cycling is not detrimental to the spine; rather, in contrast, may be associated with beneficial changes at the spine.","DOI":"10.1249/MSS.0000000000001770","ISSN":"1530-0315","note":"PMID: 30157104","journalAbbreviation":"Med Sci Sports Exerc","language":"eng","author":[{"family":"Belavy","given":"Daniel L."},{"family":"Quittner","given":"Matthew"},{"family":"Ridgers","given":"Nicola D."},{"family":"Ling","given":"Yuan"},{"family":"Connell","given":"David"},{"family":"Trudel","given":"Guy"},{"family":"Rantalainen","given":"Timo"}],"issued":{"date-parts":[["2018",8,28]]}}}],"schema":"https://github.com/citation-style-language/schema/raw/master/csl-citation.json"} </w:instrText>
      </w:r>
      <w:r w:rsidRPr="00095192">
        <w:fldChar w:fldCharType="separate"/>
      </w:r>
      <w:r w:rsidRPr="00095192">
        <w:rPr>
          <w:vertAlign w:val="superscript"/>
        </w:rPr>
        <w:t>10</w:t>
      </w:r>
      <w:r w:rsidRPr="00095192">
        <w:fldChar w:fldCharType="end"/>
      </w:r>
      <w:r w:rsidRPr="00095192">
        <w:t xml:space="preserve"> on IVD T2-time have been published in prior work.</w:t>
      </w:r>
    </w:p>
    <w:p w14:paraId="53D303D9" w14:textId="338F4BB6" w:rsidR="00016F3B" w:rsidRDefault="00016F3B" w:rsidP="00294DA7">
      <w:pPr>
        <w:pStyle w:val="MDPI31text"/>
      </w:pPr>
    </w:p>
    <w:p w14:paraId="1DC52323" w14:textId="059EC3A1" w:rsidR="00294DA7" w:rsidRDefault="001F6173" w:rsidP="00294DA7">
      <w:pPr>
        <w:pStyle w:val="MDPI31text"/>
      </w:pPr>
      <w:r w:rsidRPr="001F6173">
        <w:drawing>
          <wp:inline distT="0" distB="0" distL="0" distR="0" wp14:anchorId="5DF112D8" wp14:editId="66DDAF59">
            <wp:extent cx="4647600" cy="5623200"/>
            <wp:effectExtent l="0" t="0" r="635"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47600" cy="5623200"/>
                    </a:xfrm>
                    <a:prstGeom prst="rect">
                      <a:avLst/>
                    </a:prstGeom>
                    <a:noFill/>
                    <a:ln>
                      <a:noFill/>
                    </a:ln>
                  </pic:spPr>
                </pic:pic>
              </a:graphicData>
            </a:graphic>
          </wp:inline>
        </w:drawing>
      </w:r>
    </w:p>
    <w:p w14:paraId="4EF18727" w14:textId="2AAAE2F3" w:rsidR="001F6173" w:rsidRDefault="00294DA7" w:rsidP="00E826A9">
      <w:pPr>
        <w:pStyle w:val="MDPI51figurecaption"/>
      </w:pPr>
      <w:r w:rsidRPr="00897CDC">
        <w:lastRenderedPageBreak/>
        <w:t>Figure</w:t>
      </w:r>
      <w:r w:rsidR="00897CDC" w:rsidRPr="00897CDC">
        <w:t xml:space="preserve"> 2.</w:t>
      </w:r>
      <w:r w:rsidRPr="00897CDC">
        <w:t xml:space="preserve"> </w:t>
      </w:r>
      <w:r w:rsidR="001F6173">
        <w:t xml:space="preserve">Differences of each MRI techniques in quantifying the intervertebral disc. Data are relative differences in </w:t>
      </w:r>
      <w:r w:rsidR="00016F3B" w:rsidRPr="00095192">
        <w:t>physical activity histories</w:t>
      </w:r>
      <w:r w:rsidR="001F6173">
        <w:t xml:space="preserve"> compared to the sedentary group</w:t>
      </w:r>
      <w:r w:rsidR="00897CDC">
        <w:t xml:space="preserve">. See Table </w:t>
      </w:r>
      <w:r w:rsidR="00016F3B">
        <w:t>1</w:t>
      </w:r>
      <w:r w:rsidR="00897CDC">
        <w:t xml:space="preserve"> for statistical comparisons.</w:t>
      </w:r>
    </w:p>
    <w:p w14:paraId="69CFF347" w14:textId="77777777" w:rsidR="00016F3B" w:rsidRPr="00016F3B" w:rsidRDefault="00016F3B" w:rsidP="00016F3B">
      <w:pPr>
        <w:pStyle w:val="MDPI31text"/>
      </w:pPr>
    </w:p>
    <w:p w14:paraId="314510FB" w14:textId="77777777" w:rsidR="000928EE" w:rsidRPr="00095192" w:rsidRDefault="000928EE" w:rsidP="00095192">
      <w:pPr>
        <w:pStyle w:val="MDPI52figure"/>
      </w:pPr>
      <w:r w:rsidRPr="00095192">
        <w:rPr>
          <w:noProof/>
          <w:lang w:eastAsia="zh-CN" w:bidi="ar-SA"/>
        </w:rPr>
        <w:drawing>
          <wp:inline distT="0" distB="0" distL="0" distR="0" wp14:anchorId="2C791298" wp14:editId="3BCB2105">
            <wp:extent cx="5759450" cy="6267450"/>
            <wp:effectExtent l="0" t="0" r="0" b="0"/>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59450" cy="6267450"/>
                    </a:xfrm>
                    <a:prstGeom prst="rect">
                      <a:avLst/>
                    </a:prstGeom>
                    <a:noFill/>
                    <a:ln>
                      <a:noFill/>
                    </a:ln>
                  </pic:spPr>
                </pic:pic>
              </a:graphicData>
            </a:graphic>
          </wp:inline>
        </w:drawing>
      </w:r>
    </w:p>
    <w:p w14:paraId="41A92C46" w14:textId="7121532C" w:rsidR="00095192" w:rsidRDefault="00095192" w:rsidP="00895E1F">
      <w:pPr>
        <w:pStyle w:val="MDPI51figurecaption"/>
      </w:pPr>
      <w:r w:rsidRPr="00095192">
        <w:rPr>
          <w:b/>
          <w:bCs/>
        </w:rPr>
        <w:t xml:space="preserve">Figure </w:t>
      </w:r>
      <w:r w:rsidR="00E826A9">
        <w:rPr>
          <w:b/>
          <w:bCs/>
        </w:rPr>
        <w:t>3</w:t>
      </w:r>
      <w:r w:rsidRPr="00095192">
        <w:rPr>
          <w:b/>
          <w:bCs/>
        </w:rPr>
        <w:t xml:space="preserve">. </w:t>
      </w:r>
      <w:r w:rsidR="00156BCB" w:rsidRPr="00095192">
        <w:t>Graphical representations of the IVDs in terms of 3D plots for T2-mapping, T2</w:t>
      </w:r>
      <w:r w:rsidR="0041647D">
        <w:t>w</w:t>
      </w:r>
      <w:r w:rsidR="00F62711">
        <w:t xml:space="preserve"> imaging</w:t>
      </w:r>
      <w:r w:rsidR="0041647D">
        <w:t xml:space="preserve"> and Dixon</w:t>
      </w:r>
      <w:r w:rsidR="00156BCB" w:rsidRPr="00095192">
        <w:t xml:space="preserve"> imaging</w:t>
      </w:r>
      <w:r w:rsidR="00C837C7" w:rsidRPr="00095192">
        <w:t>.</w:t>
      </w:r>
      <w:r w:rsidR="000928EE" w:rsidRPr="00095192">
        <w:t xml:space="preserve"> Values are averaged across each Pfirrmann grade for all IVDs T12/L1 to L5/S1 (606 IVDs from 101 subjects). Color keys indicate range of values.</w:t>
      </w:r>
    </w:p>
    <w:p w14:paraId="2680AEDB" w14:textId="28927724" w:rsidR="00E826A9" w:rsidRDefault="00E826A9" w:rsidP="00895E1F">
      <w:pPr>
        <w:pStyle w:val="MDPI51figurecaption"/>
      </w:pPr>
    </w:p>
    <w:p w14:paraId="43A5F8D2" w14:textId="77777777" w:rsidR="00E826A9" w:rsidRPr="0041647D" w:rsidRDefault="00E826A9" w:rsidP="00E826A9">
      <w:pPr>
        <w:pStyle w:val="MDPI41tablecaption"/>
        <w:jc w:val="center"/>
      </w:pPr>
      <w:r w:rsidRPr="00095192">
        <w:rPr>
          <w:b/>
          <w:bCs/>
        </w:rPr>
        <w:t xml:space="preserve">Table 2. </w:t>
      </w:r>
      <w:r w:rsidRPr="0041647D">
        <w:t>T2-mapping and T2w</w:t>
      </w:r>
      <w:r>
        <w:t xml:space="preserve"> imaging</w:t>
      </w:r>
      <w:r w:rsidRPr="0041647D">
        <w:t xml:space="preserve"> reflected the IVD Pfirrmann grades, but Dixon</w:t>
      </w:r>
      <w:r>
        <w:t xml:space="preserve"> imaging</w:t>
      </w:r>
      <w:r w:rsidRPr="0041647D">
        <w:t xml:space="preserve"> was less sensitive</w:t>
      </w:r>
      <w:r>
        <w:t>.</w:t>
      </w:r>
    </w:p>
    <w:tbl>
      <w:tblPr>
        <w:tblStyle w:val="Thesis"/>
        <w:tblW w:w="5091" w:type="pct"/>
        <w:jc w:val="center"/>
        <w:tblLook w:val="04A0" w:firstRow="1" w:lastRow="0" w:firstColumn="1" w:lastColumn="0" w:noHBand="0" w:noVBand="1"/>
      </w:tblPr>
      <w:tblGrid>
        <w:gridCol w:w="2637"/>
        <w:gridCol w:w="1527"/>
        <w:gridCol w:w="1657"/>
        <w:gridCol w:w="1657"/>
        <w:gridCol w:w="1527"/>
      </w:tblGrid>
      <w:tr w:rsidR="00E826A9" w:rsidRPr="00095192" w14:paraId="7EB37B74" w14:textId="77777777" w:rsidTr="0038054E">
        <w:trPr>
          <w:cnfStyle w:val="100000000000" w:firstRow="1" w:lastRow="0" w:firstColumn="0" w:lastColumn="0" w:oddVBand="0" w:evenVBand="0" w:oddHBand="0" w:evenHBand="0" w:firstRowFirstColumn="0" w:firstRowLastColumn="0" w:lastRowFirstColumn="0" w:lastRowLastColumn="0"/>
          <w:jc w:val="center"/>
        </w:trPr>
        <w:tc>
          <w:tcPr>
            <w:tcW w:w="0" w:type="auto"/>
            <w:tcBorders>
              <w:top w:val="single" w:sz="8" w:space="0" w:color="auto"/>
              <w:bottom w:val="nil"/>
            </w:tcBorders>
            <w:shd w:val="clear" w:color="auto" w:fill="auto"/>
            <w:noWrap/>
            <w:hideMark/>
          </w:tcPr>
          <w:p w14:paraId="51476A5A" w14:textId="77777777" w:rsidR="00E826A9" w:rsidRPr="00095192" w:rsidRDefault="00E826A9" w:rsidP="0038054E">
            <w:pPr>
              <w:autoSpaceDE w:val="0"/>
              <w:autoSpaceDN w:val="0"/>
              <w:adjustRightInd w:val="0"/>
              <w:snapToGrid w:val="0"/>
              <w:spacing w:after="0" w:line="240" w:lineRule="auto"/>
              <w:rPr>
                <w:rFonts w:ascii="Palatino Linotype" w:hAnsi="Palatino Linotype"/>
                <w:sz w:val="18"/>
                <w:szCs w:val="20"/>
                <w:lang w:val="en-US"/>
              </w:rPr>
            </w:pPr>
          </w:p>
        </w:tc>
        <w:tc>
          <w:tcPr>
            <w:tcW w:w="0" w:type="auto"/>
            <w:gridSpan w:val="4"/>
            <w:tcBorders>
              <w:top w:val="single" w:sz="8" w:space="0" w:color="auto"/>
            </w:tcBorders>
            <w:shd w:val="clear" w:color="auto" w:fill="auto"/>
            <w:noWrap/>
            <w:hideMark/>
          </w:tcPr>
          <w:p w14:paraId="3BC7E546" w14:textId="77777777" w:rsidR="00E826A9" w:rsidRPr="00095192" w:rsidRDefault="00E826A9" w:rsidP="0038054E">
            <w:pPr>
              <w:autoSpaceDE w:val="0"/>
              <w:autoSpaceDN w:val="0"/>
              <w:adjustRightInd w:val="0"/>
              <w:snapToGrid w:val="0"/>
              <w:spacing w:after="0" w:line="240" w:lineRule="auto"/>
              <w:rPr>
                <w:rFonts w:ascii="Palatino Linotype" w:hAnsi="Palatino Linotype" w:cs="Times New Roman"/>
                <w:bCs/>
                <w:color w:val="000000"/>
                <w:sz w:val="18"/>
                <w:szCs w:val="20"/>
                <w:lang w:val="en-US"/>
              </w:rPr>
            </w:pPr>
            <w:r w:rsidRPr="00095192">
              <w:rPr>
                <w:rFonts w:ascii="Palatino Linotype" w:hAnsi="Palatino Linotype" w:cs="Times New Roman"/>
                <w:bCs/>
                <w:color w:val="000000"/>
                <w:sz w:val="18"/>
                <w:szCs w:val="20"/>
                <w:lang w:val="en-US"/>
              </w:rPr>
              <w:t>Pfirrmann grade (number of IVDs)</w:t>
            </w:r>
          </w:p>
        </w:tc>
      </w:tr>
      <w:tr w:rsidR="00E826A9" w:rsidRPr="00095192" w14:paraId="01B3C3E4" w14:textId="77777777" w:rsidTr="0038054E">
        <w:trPr>
          <w:jc w:val="center"/>
        </w:trPr>
        <w:tc>
          <w:tcPr>
            <w:tcW w:w="0" w:type="auto"/>
            <w:tcBorders>
              <w:top w:val="nil"/>
              <w:left w:val="nil"/>
              <w:bottom w:val="single" w:sz="4" w:space="0" w:color="000000" w:themeColor="text1"/>
              <w:right w:val="nil"/>
            </w:tcBorders>
            <w:shd w:val="clear" w:color="auto" w:fill="auto"/>
          </w:tcPr>
          <w:p w14:paraId="469406DA" w14:textId="77777777" w:rsidR="00E826A9" w:rsidRPr="00095192" w:rsidRDefault="00E826A9" w:rsidP="0038054E">
            <w:pPr>
              <w:autoSpaceDE w:val="0"/>
              <w:autoSpaceDN w:val="0"/>
              <w:adjustRightInd w:val="0"/>
              <w:snapToGrid w:val="0"/>
              <w:spacing w:after="0" w:line="240" w:lineRule="auto"/>
              <w:rPr>
                <w:rFonts w:ascii="Palatino Linotype" w:hAnsi="Palatino Linotype" w:cs="Times New Roman"/>
                <w:b/>
                <w:bCs/>
                <w:color w:val="000000"/>
                <w:sz w:val="18"/>
                <w:szCs w:val="20"/>
                <w:lang w:val="en-US"/>
              </w:rPr>
            </w:pPr>
          </w:p>
        </w:tc>
        <w:tc>
          <w:tcPr>
            <w:tcW w:w="0" w:type="auto"/>
            <w:tcBorders>
              <w:top w:val="single" w:sz="12" w:space="0" w:color="000000" w:themeColor="text1"/>
              <w:left w:val="nil"/>
              <w:bottom w:val="single" w:sz="4" w:space="0" w:color="000000" w:themeColor="text1"/>
              <w:right w:val="nil"/>
            </w:tcBorders>
            <w:shd w:val="clear" w:color="auto" w:fill="auto"/>
            <w:hideMark/>
          </w:tcPr>
          <w:p w14:paraId="37D7C0D2" w14:textId="77777777" w:rsidR="00E826A9" w:rsidRPr="00095192" w:rsidRDefault="00E826A9" w:rsidP="0038054E">
            <w:pPr>
              <w:autoSpaceDE w:val="0"/>
              <w:autoSpaceDN w:val="0"/>
              <w:adjustRightInd w:val="0"/>
              <w:snapToGrid w:val="0"/>
              <w:spacing w:after="0" w:line="240" w:lineRule="auto"/>
              <w:rPr>
                <w:rFonts w:ascii="Palatino Linotype" w:hAnsi="Palatino Linotype" w:cs="Times New Roman"/>
                <w:b/>
                <w:color w:val="000000"/>
                <w:sz w:val="18"/>
                <w:szCs w:val="20"/>
                <w:lang w:val="en-US"/>
              </w:rPr>
            </w:pPr>
            <w:r w:rsidRPr="00095192">
              <w:rPr>
                <w:rFonts w:ascii="Palatino Linotype" w:hAnsi="Palatino Linotype" w:cs="Times New Roman"/>
                <w:b/>
                <w:color w:val="000000"/>
                <w:sz w:val="18"/>
                <w:szCs w:val="20"/>
                <w:lang w:val="en-US"/>
              </w:rPr>
              <w:t>1 (n=47)</w:t>
            </w:r>
          </w:p>
        </w:tc>
        <w:tc>
          <w:tcPr>
            <w:tcW w:w="0" w:type="auto"/>
            <w:tcBorders>
              <w:top w:val="single" w:sz="12" w:space="0" w:color="000000" w:themeColor="text1"/>
              <w:left w:val="nil"/>
              <w:bottom w:val="single" w:sz="4" w:space="0" w:color="000000" w:themeColor="text1"/>
              <w:right w:val="nil"/>
            </w:tcBorders>
            <w:shd w:val="clear" w:color="auto" w:fill="auto"/>
            <w:hideMark/>
          </w:tcPr>
          <w:p w14:paraId="6B0D1A25" w14:textId="77777777" w:rsidR="00E826A9" w:rsidRPr="00095192" w:rsidRDefault="00E826A9" w:rsidP="0038054E">
            <w:pPr>
              <w:autoSpaceDE w:val="0"/>
              <w:autoSpaceDN w:val="0"/>
              <w:adjustRightInd w:val="0"/>
              <w:snapToGrid w:val="0"/>
              <w:spacing w:after="0" w:line="240" w:lineRule="auto"/>
              <w:rPr>
                <w:rFonts w:ascii="Palatino Linotype" w:hAnsi="Palatino Linotype" w:cs="Times New Roman"/>
                <w:b/>
                <w:color w:val="000000"/>
                <w:sz w:val="18"/>
                <w:szCs w:val="20"/>
                <w:lang w:val="en-US"/>
              </w:rPr>
            </w:pPr>
            <w:r w:rsidRPr="00095192">
              <w:rPr>
                <w:rFonts w:ascii="Palatino Linotype" w:hAnsi="Palatino Linotype" w:cs="Times New Roman"/>
                <w:b/>
                <w:color w:val="000000"/>
                <w:sz w:val="18"/>
                <w:szCs w:val="20"/>
                <w:lang w:val="en-US"/>
              </w:rPr>
              <w:t>2 (n=457)</w:t>
            </w:r>
          </w:p>
        </w:tc>
        <w:tc>
          <w:tcPr>
            <w:tcW w:w="0" w:type="auto"/>
            <w:tcBorders>
              <w:top w:val="single" w:sz="12" w:space="0" w:color="000000" w:themeColor="text1"/>
              <w:left w:val="nil"/>
              <w:bottom w:val="single" w:sz="12" w:space="0" w:color="000000" w:themeColor="text1"/>
              <w:right w:val="nil"/>
            </w:tcBorders>
            <w:shd w:val="clear" w:color="auto" w:fill="auto"/>
            <w:hideMark/>
          </w:tcPr>
          <w:p w14:paraId="70B0DFD2" w14:textId="77777777" w:rsidR="00E826A9" w:rsidRPr="00095192" w:rsidRDefault="00E826A9" w:rsidP="0038054E">
            <w:pPr>
              <w:autoSpaceDE w:val="0"/>
              <w:autoSpaceDN w:val="0"/>
              <w:adjustRightInd w:val="0"/>
              <w:snapToGrid w:val="0"/>
              <w:spacing w:after="0" w:line="240" w:lineRule="auto"/>
              <w:rPr>
                <w:rFonts w:ascii="Palatino Linotype" w:hAnsi="Palatino Linotype" w:cs="Times New Roman"/>
                <w:b/>
                <w:color w:val="000000"/>
                <w:sz w:val="18"/>
                <w:szCs w:val="20"/>
                <w:lang w:val="en-US"/>
              </w:rPr>
            </w:pPr>
            <w:r w:rsidRPr="00095192">
              <w:rPr>
                <w:rFonts w:ascii="Palatino Linotype" w:hAnsi="Palatino Linotype" w:cs="Times New Roman"/>
                <w:b/>
                <w:color w:val="000000"/>
                <w:sz w:val="18"/>
                <w:szCs w:val="20"/>
                <w:lang w:val="en-US"/>
              </w:rPr>
              <w:t>3 (n=60)</w:t>
            </w:r>
          </w:p>
        </w:tc>
        <w:tc>
          <w:tcPr>
            <w:tcW w:w="0" w:type="auto"/>
            <w:tcBorders>
              <w:top w:val="single" w:sz="12" w:space="0" w:color="000000" w:themeColor="text1"/>
              <w:left w:val="nil"/>
              <w:bottom w:val="single" w:sz="12" w:space="0" w:color="000000" w:themeColor="text1"/>
              <w:right w:val="nil"/>
            </w:tcBorders>
            <w:shd w:val="clear" w:color="auto" w:fill="auto"/>
            <w:hideMark/>
          </w:tcPr>
          <w:p w14:paraId="4C876829" w14:textId="77777777" w:rsidR="00E826A9" w:rsidRPr="00095192" w:rsidRDefault="00E826A9" w:rsidP="0038054E">
            <w:pPr>
              <w:autoSpaceDE w:val="0"/>
              <w:autoSpaceDN w:val="0"/>
              <w:adjustRightInd w:val="0"/>
              <w:snapToGrid w:val="0"/>
              <w:spacing w:after="0" w:line="240" w:lineRule="auto"/>
              <w:rPr>
                <w:rFonts w:ascii="Palatino Linotype" w:hAnsi="Palatino Linotype" w:cs="Times New Roman"/>
                <w:b/>
                <w:color w:val="000000"/>
                <w:sz w:val="18"/>
                <w:szCs w:val="20"/>
                <w:lang w:val="en-US"/>
              </w:rPr>
            </w:pPr>
            <w:r w:rsidRPr="00095192">
              <w:rPr>
                <w:rFonts w:ascii="Palatino Linotype" w:hAnsi="Palatino Linotype" w:cs="Times New Roman"/>
                <w:b/>
                <w:color w:val="000000"/>
                <w:sz w:val="18"/>
                <w:szCs w:val="20"/>
                <w:lang w:val="en-US"/>
              </w:rPr>
              <w:t>4 (n=42)</w:t>
            </w:r>
          </w:p>
        </w:tc>
      </w:tr>
      <w:tr w:rsidR="00E826A9" w:rsidRPr="00095192" w14:paraId="7984AAA3" w14:textId="77777777" w:rsidTr="0038054E">
        <w:trPr>
          <w:jc w:val="center"/>
        </w:trPr>
        <w:tc>
          <w:tcPr>
            <w:tcW w:w="0" w:type="auto"/>
            <w:gridSpan w:val="5"/>
            <w:tcBorders>
              <w:top w:val="single" w:sz="12" w:space="0" w:color="000000" w:themeColor="text1"/>
              <w:left w:val="nil"/>
              <w:bottom w:val="dotted" w:sz="4" w:space="0" w:color="000000" w:themeColor="text1"/>
              <w:right w:val="nil"/>
            </w:tcBorders>
            <w:shd w:val="clear" w:color="auto" w:fill="auto"/>
            <w:hideMark/>
          </w:tcPr>
          <w:p w14:paraId="686EB0E2" w14:textId="77777777" w:rsidR="00E826A9" w:rsidRPr="00095192" w:rsidRDefault="00E826A9" w:rsidP="0038054E">
            <w:pPr>
              <w:autoSpaceDE w:val="0"/>
              <w:autoSpaceDN w:val="0"/>
              <w:adjustRightInd w:val="0"/>
              <w:snapToGrid w:val="0"/>
              <w:spacing w:after="0" w:line="240" w:lineRule="auto"/>
              <w:jc w:val="left"/>
              <w:rPr>
                <w:rFonts w:ascii="Palatino Linotype" w:hAnsi="Palatino Linotype" w:cs="Times New Roman"/>
                <w:color w:val="000000"/>
                <w:sz w:val="18"/>
                <w:szCs w:val="20"/>
                <w:lang w:val="en-US"/>
              </w:rPr>
            </w:pPr>
            <w:r w:rsidRPr="00095192">
              <w:rPr>
                <w:rFonts w:ascii="Palatino Linotype" w:hAnsi="Palatino Linotype" w:cs="Times New Roman"/>
                <w:b/>
                <w:bCs/>
                <w:color w:val="000000"/>
                <w:sz w:val="18"/>
                <w:szCs w:val="20"/>
                <w:lang w:val="en-US"/>
              </w:rPr>
              <w:lastRenderedPageBreak/>
              <w:t>Whole IVD</w:t>
            </w:r>
          </w:p>
        </w:tc>
      </w:tr>
      <w:tr w:rsidR="00E826A9" w:rsidRPr="00095192" w14:paraId="49EAA831" w14:textId="77777777" w:rsidTr="0038054E">
        <w:trPr>
          <w:jc w:val="center"/>
        </w:trPr>
        <w:tc>
          <w:tcPr>
            <w:tcW w:w="0" w:type="auto"/>
            <w:tcBorders>
              <w:top w:val="dotted" w:sz="4" w:space="0" w:color="000000" w:themeColor="text1"/>
              <w:left w:val="nil"/>
              <w:bottom w:val="dotted" w:sz="4" w:space="0" w:color="000000" w:themeColor="text1"/>
              <w:right w:val="nil"/>
            </w:tcBorders>
            <w:shd w:val="clear" w:color="auto" w:fill="auto"/>
            <w:hideMark/>
          </w:tcPr>
          <w:p w14:paraId="71932C91" w14:textId="77777777" w:rsidR="00E826A9" w:rsidRPr="00095192" w:rsidRDefault="00E826A9" w:rsidP="0038054E">
            <w:pPr>
              <w:autoSpaceDE w:val="0"/>
              <w:autoSpaceDN w:val="0"/>
              <w:adjustRightInd w:val="0"/>
              <w:snapToGrid w:val="0"/>
              <w:spacing w:after="0" w:line="240" w:lineRule="auto"/>
              <w:rPr>
                <w:rFonts w:ascii="Palatino Linotype" w:hAnsi="Palatino Linotype" w:cs="Times New Roman"/>
                <w:color w:val="000000"/>
                <w:sz w:val="18"/>
                <w:szCs w:val="20"/>
                <w:lang w:val="en-US"/>
              </w:rPr>
            </w:pPr>
            <w:r w:rsidRPr="00095192">
              <w:rPr>
                <w:rFonts w:ascii="Palatino Linotype" w:hAnsi="Palatino Linotype" w:cs="Times New Roman"/>
                <w:color w:val="000000"/>
                <w:sz w:val="18"/>
                <w:szCs w:val="20"/>
                <w:lang w:val="en-US"/>
              </w:rPr>
              <w:t xml:space="preserve">     T2-mapping (ms)</w:t>
            </w:r>
          </w:p>
        </w:tc>
        <w:tc>
          <w:tcPr>
            <w:tcW w:w="0" w:type="auto"/>
            <w:tcBorders>
              <w:top w:val="dotted" w:sz="4" w:space="0" w:color="000000" w:themeColor="text1"/>
              <w:left w:val="nil"/>
              <w:bottom w:val="dotted" w:sz="4" w:space="0" w:color="000000" w:themeColor="text1"/>
              <w:right w:val="nil"/>
            </w:tcBorders>
            <w:shd w:val="clear" w:color="auto" w:fill="auto"/>
            <w:hideMark/>
          </w:tcPr>
          <w:p w14:paraId="3621B288" w14:textId="77777777" w:rsidR="00E826A9" w:rsidRPr="00095192" w:rsidRDefault="00E826A9" w:rsidP="0038054E">
            <w:pPr>
              <w:autoSpaceDE w:val="0"/>
              <w:autoSpaceDN w:val="0"/>
              <w:adjustRightInd w:val="0"/>
              <w:snapToGrid w:val="0"/>
              <w:spacing w:after="0" w:line="240" w:lineRule="auto"/>
              <w:rPr>
                <w:rFonts w:ascii="Palatino Linotype" w:hAnsi="Palatino Linotype" w:cs="Times New Roman"/>
                <w:color w:val="000000"/>
                <w:sz w:val="18"/>
                <w:szCs w:val="20"/>
                <w:lang w:val="en-US"/>
              </w:rPr>
            </w:pPr>
            <w:r w:rsidRPr="00095192">
              <w:rPr>
                <w:rFonts w:ascii="Palatino Linotype" w:hAnsi="Palatino Linotype" w:cs="Times New Roman"/>
                <w:color w:val="000000"/>
                <w:sz w:val="18"/>
                <w:szCs w:val="20"/>
                <w:lang w:val="en-US"/>
              </w:rPr>
              <w:t>133.9(17.3)</w:t>
            </w:r>
          </w:p>
        </w:tc>
        <w:tc>
          <w:tcPr>
            <w:tcW w:w="0" w:type="auto"/>
            <w:tcBorders>
              <w:top w:val="dotted" w:sz="4" w:space="0" w:color="000000" w:themeColor="text1"/>
              <w:left w:val="nil"/>
              <w:bottom w:val="dotted" w:sz="4" w:space="0" w:color="000000" w:themeColor="text1"/>
              <w:right w:val="nil"/>
            </w:tcBorders>
            <w:shd w:val="clear" w:color="auto" w:fill="auto"/>
            <w:hideMark/>
          </w:tcPr>
          <w:p w14:paraId="45CAEEFC" w14:textId="77777777" w:rsidR="00E826A9" w:rsidRPr="00095192" w:rsidRDefault="00E826A9" w:rsidP="0038054E">
            <w:pPr>
              <w:autoSpaceDE w:val="0"/>
              <w:autoSpaceDN w:val="0"/>
              <w:adjustRightInd w:val="0"/>
              <w:snapToGrid w:val="0"/>
              <w:spacing w:after="0" w:line="240" w:lineRule="auto"/>
              <w:rPr>
                <w:rFonts w:ascii="Palatino Linotype" w:hAnsi="Palatino Linotype" w:cs="Times New Roman"/>
                <w:color w:val="000000"/>
                <w:sz w:val="18"/>
                <w:szCs w:val="20"/>
                <w:lang w:val="en-US"/>
              </w:rPr>
            </w:pPr>
            <w:r w:rsidRPr="00095192">
              <w:rPr>
                <w:rFonts w:ascii="Palatino Linotype" w:hAnsi="Palatino Linotype" w:cs="Times New Roman"/>
                <w:color w:val="000000"/>
                <w:sz w:val="18"/>
                <w:szCs w:val="20"/>
                <w:lang w:val="en-US"/>
              </w:rPr>
              <w:t>118.1(56.</w:t>
            </w:r>
            <w:proofErr w:type="gramStart"/>
            <w:r w:rsidRPr="00095192">
              <w:rPr>
                <w:rFonts w:ascii="Palatino Linotype" w:hAnsi="Palatino Linotype" w:cs="Times New Roman"/>
                <w:color w:val="000000"/>
                <w:sz w:val="18"/>
                <w:szCs w:val="20"/>
                <w:lang w:val="en-US"/>
              </w:rPr>
              <w:t>8)‡</w:t>
            </w:r>
            <w:proofErr w:type="gramEnd"/>
          </w:p>
        </w:tc>
        <w:tc>
          <w:tcPr>
            <w:tcW w:w="0" w:type="auto"/>
            <w:tcBorders>
              <w:top w:val="dotted" w:sz="4" w:space="0" w:color="000000" w:themeColor="text1"/>
              <w:left w:val="nil"/>
              <w:bottom w:val="dotted" w:sz="4" w:space="0" w:color="000000" w:themeColor="text1"/>
              <w:right w:val="nil"/>
            </w:tcBorders>
            <w:shd w:val="clear" w:color="auto" w:fill="auto"/>
            <w:hideMark/>
          </w:tcPr>
          <w:p w14:paraId="153F22C0" w14:textId="77777777" w:rsidR="00E826A9" w:rsidRPr="00095192" w:rsidRDefault="00E826A9" w:rsidP="0038054E">
            <w:pPr>
              <w:autoSpaceDE w:val="0"/>
              <w:autoSpaceDN w:val="0"/>
              <w:adjustRightInd w:val="0"/>
              <w:snapToGrid w:val="0"/>
              <w:spacing w:after="0" w:line="240" w:lineRule="auto"/>
              <w:rPr>
                <w:rFonts w:ascii="Palatino Linotype" w:hAnsi="Palatino Linotype" w:cs="Times New Roman"/>
                <w:color w:val="000000"/>
                <w:sz w:val="18"/>
                <w:szCs w:val="20"/>
                <w:lang w:val="en-US"/>
              </w:rPr>
            </w:pPr>
            <w:r w:rsidRPr="00095192">
              <w:rPr>
                <w:rFonts w:ascii="Palatino Linotype" w:hAnsi="Palatino Linotype" w:cs="Times New Roman"/>
                <w:color w:val="000000"/>
                <w:sz w:val="18"/>
                <w:szCs w:val="20"/>
                <w:lang w:val="en-US"/>
              </w:rPr>
              <w:t>94.4(26.</w:t>
            </w:r>
            <w:proofErr w:type="gramStart"/>
            <w:r w:rsidRPr="00095192">
              <w:rPr>
                <w:rFonts w:ascii="Palatino Linotype" w:hAnsi="Palatino Linotype" w:cs="Times New Roman"/>
                <w:color w:val="000000"/>
                <w:sz w:val="18"/>
                <w:szCs w:val="20"/>
                <w:lang w:val="en-US"/>
              </w:rPr>
              <w:t>2)‡</w:t>
            </w:r>
            <w:proofErr w:type="gramEnd"/>
          </w:p>
        </w:tc>
        <w:tc>
          <w:tcPr>
            <w:tcW w:w="0" w:type="auto"/>
            <w:tcBorders>
              <w:top w:val="dotted" w:sz="4" w:space="0" w:color="000000" w:themeColor="text1"/>
              <w:left w:val="nil"/>
              <w:bottom w:val="dotted" w:sz="4" w:space="0" w:color="000000" w:themeColor="text1"/>
              <w:right w:val="nil"/>
            </w:tcBorders>
            <w:shd w:val="clear" w:color="auto" w:fill="auto"/>
            <w:hideMark/>
          </w:tcPr>
          <w:p w14:paraId="3224D420" w14:textId="77777777" w:rsidR="00E826A9" w:rsidRPr="00095192" w:rsidRDefault="00E826A9" w:rsidP="0038054E">
            <w:pPr>
              <w:autoSpaceDE w:val="0"/>
              <w:autoSpaceDN w:val="0"/>
              <w:adjustRightInd w:val="0"/>
              <w:snapToGrid w:val="0"/>
              <w:spacing w:after="0" w:line="240" w:lineRule="auto"/>
              <w:rPr>
                <w:rFonts w:ascii="Palatino Linotype" w:hAnsi="Palatino Linotype" w:cs="Times New Roman"/>
                <w:color w:val="000000"/>
                <w:sz w:val="18"/>
                <w:szCs w:val="20"/>
                <w:lang w:val="en-US"/>
              </w:rPr>
            </w:pPr>
            <w:r w:rsidRPr="00095192">
              <w:rPr>
                <w:rFonts w:ascii="Palatino Linotype" w:hAnsi="Palatino Linotype" w:cs="Times New Roman"/>
                <w:color w:val="000000"/>
                <w:sz w:val="18"/>
                <w:szCs w:val="20"/>
                <w:lang w:val="en-US"/>
              </w:rPr>
              <w:t>86.8(23.</w:t>
            </w:r>
            <w:proofErr w:type="gramStart"/>
            <w:r w:rsidRPr="00095192">
              <w:rPr>
                <w:rFonts w:ascii="Palatino Linotype" w:hAnsi="Palatino Linotype" w:cs="Times New Roman"/>
                <w:color w:val="000000"/>
                <w:sz w:val="18"/>
                <w:szCs w:val="20"/>
                <w:lang w:val="en-US"/>
              </w:rPr>
              <w:t>9)‡</w:t>
            </w:r>
            <w:proofErr w:type="gramEnd"/>
          </w:p>
        </w:tc>
      </w:tr>
      <w:tr w:rsidR="00E826A9" w:rsidRPr="00095192" w14:paraId="3FE0823E" w14:textId="77777777" w:rsidTr="0038054E">
        <w:trPr>
          <w:jc w:val="center"/>
        </w:trPr>
        <w:tc>
          <w:tcPr>
            <w:tcW w:w="0" w:type="auto"/>
            <w:tcBorders>
              <w:top w:val="dotted" w:sz="4" w:space="0" w:color="000000" w:themeColor="text1"/>
              <w:left w:val="nil"/>
              <w:bottom w:val="dotted" w:sz="4" w:space="0" w:color="000000" w:themeColor="text1"/>
              <w:right w:val="nil"/>
            </w:tcBorders>
            <w:shd w:val="clear" w:color="auto" w:fill="auto"/>
          </w:tcPr>
          <w:p w14:paraId="4A432E1A" w14:textId="77777777" w:rsidR="00E826A9" w:rsidRPr="00095192" w:rsidRDefault="00E826A9" w:rsidP="0038054E">
            <w:pPr>
              <w:autoSpaceDE w:val="0"/>
              <w:autoSpaceDN w:val="0"/>
              <w:adjustRightInd w:val="0"/>
              <w:snapToGrid w:val="0"/>
              <w:spacing w:after="0" w:line="240" w:lineRule="auto"/>
              <w:rPr>
                <w:rFonts w:ascii="Palatino Linotype" w:hAnsi="Palatino Linotype" w:cs="Times New Roman"/>
                <w:color w:val="000000"/>
                <w:sz w:val="18"/>
                <w:szCs w:val="20"/>
                <w:lang w:val="en-US"/>
              </w:rPr>
            </w:pPr>
            <w:r w:rsidRPr="00095192">
              <w:rPr>
                <w:rFonts w:ascii="Palatino Linotype" w:hAnsi="Palatino Linotype" w:cs="Times New Roman"/>
                <w:color w:val="000000"/>
                <w:sz w:val="18"/>
                <w:szCs w:val="20"/>
                <w:lang w:val="en-US"/>
              </w:rPr>
              <w:t xml:space="preserve">     T2w-SI (no unit)</w:t>
            </w:r>
          </w:p>
        </w:tc>
        <w:tc>
          <w:tcPr>
            <w:tcW w:w="0" w:type="auto"/>
            <w:tcBorders>
              <w:top w:val="dotted" w:sz="4" w:space="0" w:color="000000" w:themeColor="text1"/>
              <w:left w:val="nil"/>
              <w:bottom w:val="dotted" w:sz="4" w:space="0" w:color="000000" w:themeColor="text1"/>
              <w:right w:val="nil"/>
            </w:tcBorders>
            <w:shd w:val="clear" w:color="auto" w:fill="auto"/>
          </w:tcPr>
          <w:p w14:paraId="0E4C6E2B" w14:textId="77777777" w:rsidR="00E826A9" w:rsidRPr="00095192" w:rsidRDefault="00E826A9" w:rsidP="0038054E">
            <w:pPr>
              <w:autoSpaceDE w:val="0"/>
              <w:autoSpaceDN w:val="0"/>
              <w:adjustRightInd w:val="0"/>
              <w:snapToGrid w:val="0"/>
              <w:spacing w:after="0" w:line="240" w:lineRule="auto"/>
              <w:rPr>
                <w:rFonts w:ascii="Palatino Linotype" w:hAnsi="Palatino Linotype" w:cs="Times New Roman"/>
                <w:color w:val="000000"/>
                <w:sz w:val="18"/>
                <w:szCs w:val="20"/>
                <w:lang w:val="en-US"/>
              </w:rPr>
            </w:pPr>
            <w:r w:rsidRPr="00095192">
              <w:rPr>
                <w:rFonts w:ascii="Palatino Linotype" w:hAnsi="Palatino Linotype" w:cs="Times New Roman"/>
                <w:sz w:val="18"/>
                <w:szCs w:val="20"/>
                <w:lang w:val="en-US"/>
              </w:rPr>
              <w:t>368(42)</w:t>
            </w:r>
          </w:p>
        </w:tc>
        <w:tc>
          <w:tcPr>
            <w:tcW w:w="0" w:type="auto"/>
            <w:tcBorders>
              <w:top w:val="dotted" w:sz="4" w:space="0" w:color="000000" w:themeColor="text1"/>
              <w:left w:val="nil"/>
              <w:bottom w:val="dotted" w:sz="4" w:space="0" w:color="000000" w:themeColor="text1"/>
              <w:right w:val="nil"/>
            </w:tcBorders>
            <w:shd w:val="clear" w:color="auto" w:fill="auto"/>
          </w:tcPr>
          <w:p w14:paraId="252B2F7B" w14:textId="77777777" w:rsidR="00E826A9" w:rsidRPr="00095192" w:rsidRDefault="00E826A9" w:rsidP="0038054E">
            <w:pPr>
              <w:autoSpaceDE w:val="0"/>
              <w:autoSpaceDN w:val="0"/>
              <w:adjustRightInd w:val="0"/>
              <w:snapToGrid w:val="0"/>
              <w:spacing w:after="0" w:line="240" w:lineRule="auto"/>
              <w:rPr>
                <w:rFonts w:ascii="Palatino Linotype" w:hAnsi="Palatino Linotype" w:cs="Times New Roman"/>
                <w:color w:val="000000"/>
                <w:sz w:val="18"/>
                <w:szCs w:val="20"/>
                <w:lang w:val="en-US"/>
              </w:rPr>
            </w:pPr>
            <w:r w:rsidRPr="00095192">
              <w:rPr>
                <w:rFonts w:ascii="Palatino Linotype" w:hAnsi="Palatino Linotype" w:cs="Times New Roman"/>
                <w:sz w:val="18"/>
                <w:szCs w:val="20"/>
                <w:lang w:val="en-US"/>
              </w:rPr>
              <w:t>337(</w:t>
            </w:r>
            <w:proofErr w:type="gramStart"/>
            <w:r w:rsidRPr="00095192">
              <w:rPr>
                <w:rFonts w:ascii="Palatino Linotype" w:hAnsi="Palatino Linotype" w:cs="Times New Roman"/>
                <w:sz w:val="18"/>
                <w:szCs w:val="20"/>
                <w:lang w:val="en-US"/>
              </w:rPr>
              <w:t>138)‡</w:t>
            </w:r>
            <w:proofErr w:type="gramEnd"/>
          </w:p>
        </w:tc>
        <w:tc>
          <w:tcPr>
            <w:tcW w:w="0" w:type="auto"/>
            <w:tcBorders>
              <w:top w:val="dotted" w:sz="4" w:space="0" w:color="000000" w:themeColor="text1"/>
              <w:left w:val="nil"/>
              <w:bottom w:val="dotted" w:sz="4" w:space="0" w:color="000000" w:themeColor="text1"/>
              <w:right w:val="nil"/>
            </w:tcBorders>
            <w:shd w:val="clear" w:color="auto" w:fill="auto"/>
          </w:tcPr>
          <w:p w14:paraId="04C93C95" w14:textId="77777777" w:rsidR="00E826A9" w:rsidRPr="00095192" w:rsidRDefault="00E826A9" w:rsidP="0038054E">
            <w:pPr>
              <w:autoSpaceDE w:val="0"/>
              <w:autoSpaceDN w:val="0"/>
              <w:adjustRightInd w:val="0"/>
              <w:snapToGrid w:val="0"/>
              <w:spacing w:after="0" w:line="240" w:lineRule="auto"/>
              <w:rPr>
                <w:rFonts w:ascii="Palatino Linotype" w:hAnsi="Palatino Linotype" w:cs="Times New Roman"/>
                <w:color w:val="000000"/>
                <w:sz w:val="18"/>
                <w:szCs w:val="20"/>
                <w:lang w:val="en-US"/>
              </w:rPr>
            </w:pPr>
            <w:r w:rsidRPr="00095192">
              <w:rPr>
                <w:rFonts w:ascii="Palatino Linotype" w:hAnsi="Palatino Linotype" w:cs="Times New Roman"/>
                <w:sz w:val="18"/>
                <w:szCs w:val="20"/>
                <w:lang w:val="en-US"/>
              </w:rPr>
              <w:t>266(</w:t>
            </w:r>
            <w:proofErr w:type="gramStart"/>
            <w:r w:rsidRPr="00095192">
              <w:rPr>
                <w:rFonts w:ascii="Palatino Linotype" w:hAnsi="Palatino Linotype" w:cs="Times New Roman"/>
                <w:sz w:val="18"/>
                <w:szCs w:val="20"/>
                <w:lang w:val="en-US"/>
              </w:rPr>
              <w:t>63)‡</w:t>
            </w:r>
            <w:proofErr w:type="gramEnd"/>
          </w:p>
        </w:tc>
        <w:tc>
          <w:tcPr>
            <w:tcW w:w="0" w:type="auto"/>
            <w:tcBorders>
              <w:top w:val="dotted" w:sz="4" w:space="0" w:color="000000" w:themeColor="text1"/>
              <w:left w:val="nil"/>
              <w:bottom w:val="dotted" w:sz="4" w:space="0" w:color="000000" w:themeColor="text1"/>
              <w:right w:val="nil"/>
            </w:tcBorders>
            <w:shd w:val="clear" w:color="auto" w:fill="auto"/>
          </w:tcPr>
          <w:p w14:paraId="3725CAC4" w14:textId="77777777" w:rsidR="00E826A9" w:rsidRPr="00095192" w:rsidRDefault="00E826A9" w:rsidP="0038054E">
            <w:pPr>
              <w:autoSpaceDE w:val="0"/>
              <w:autoSpaceDN w:val="0"/>
              <w:adjustRightInd w:val="0"/>
              <w:snapToGrid w:val="0"/>
              <w:spacing w:after="0" w:line="240" w:lineRule="auto"/>
              <w:rPr>
                <w:rFonts w:ascii="Palatino Linotype" w:hAnsi="Palatino Linotype" w:cs="Times New Roman"/>
                <w:color w:val="000000"/>
                <w:sz w:val="18"/>
                <w:szCs w:val="20"/>
                <w:lang w:val="en-US"/>
              </w:rPr>
            </w:pPr>
            <w:r w:rsidRPr="00095192">
              <w:rPr>
                <w:rFonts w:ascii="Palatino Linotype" w:hAnsi="Palatino Linotype" w:cs="Times New Roman"/>
                <w:sz w:val="18"/>
                <w:szCs w:val="20"/>
                <w:lang w:val="en-US"/>
              </w:rPr>
              <w:t>201(</w:t>
            </w:r>
            <w:proofErr w:type="gramStart"/>
            <w:r w:rsidRPr="00095192">
              <w:rPr>
                <w:rFonts w:ascii="Palatino Linotype" w:hAnsi="Palatino Linotype" w:cs="Times New Roman"/>
                <w:sz w:val="18"/>
                <w:szCs w:val="20"/>
                <w:lang w:val="en-US"/>
              </w:rPr>
              <w:t>58)‡</w:t>
            </w:r>
            <w:proofErr w:type="gramEnd"/>
          </w:p>
        </w:tc>
      </w:tr>
      <w:tr w:rsidR="00E826A9" w:rsidRPr="00095192" w14:paraId="139DA933" w14:textId="77777777" w:rsidTr="0038054E">
        <w:trPr>
          <w:jc w:val="center"/>
        </w:trPr>
        <w:tc>
          <w:tcPr>
            <w:tcW w:w="0" w:type="auto"/>
            <w:tcBorders>
              <w:top w:val="dotted" w:sz="4" w:space="0" w:color="000000" w:themeColor="text1"/>
              <w:left w:val="nil"/>
              <w:bottom w:val="dotted" w:sz="4" w:space="0" w:color="000000" w:themeColor="text1"/>
              <w:right w:val="nil"/>
            </w:tcBorders>
            <w:shd w:val="clear" w:color="auto" w:fill="auto"/>
          </w:tcPr>
          <w:p w14:paraId="22F1517A" w14:textId="77777777" w:rsidR="00E826A9" w:rsidRPr="00095192" w:rsidRDefault="00E826A9" w:rsidP="0038054E">
            <w:pPr>
              <w:autoSpaceDE w:val="0"/>
              <w:autoSpaceDN w:val="0"/>
              <w:adjustRightInd w:val="0"/>
              <w:snapToGrid w:val="0"/>
              <w:spacing w:after="0" w:line="240" w:lineRule="auto"/>
              <w:rPr>
                <w:rFonts w:ascii="Palatino Linotype" w:hAnsi="Palatino Linotype" w:cs="Times New Roman"/>
                <w:color w:val="000000"/>
                <w:sz w:val="18"/>
                <w:szCs w:val="20"/>
                <w:lang w:val="en-US"/>
              </w:rPr>
            </w:pPr>
            <w:r w:rsidRPr="00095192">
              <w:rPr>
                <w:rFonts w:ascii="Palatino Linotype" w:hAnsi="Palatino Linotype" w:cs="Times New Roman"/>
                <w:color w:val="000000"/>
                <w:sz w:val="18"/>
                <w:szCs w:val="20"/>
                <w:lang w:val="en-US"/>
              </w:rPr>
              <w:t xml:space="preserve">     Dixon (%)</w:t>
            </w:r>
          </w:p>
        </w:tc>
        <w:tc>
          <w:tcPr>
            <w:tcW w:w="0" w:type="auto"/>
            <w:tcBorders>
              <w:top w:val="dotted" w:sz="4" w:space="0" w:color="000000" w:themeColor="text1"/>
              <w:left w:val="nil"/>
              <w:bottom w:val="dotted" w:sz="4" w:space="0" w:color="000000" w:themeColor="text1"/>
              <w:right w:val="nil"/>
            </w:tcBorders>
            <w:shd w:val="clear" w:color="auto" w:fill="auto"/>
          </w:tcPr>
          <w:p w14:paraId="1ECF7DB4" w14:textId="77777777" w:rsidR="00E826A9" w:rsidRPr="00095192" w:rsidRDefault="00E826A9" w:rsidP="0038054E">
            <w:pPr>
              <w:autoSpaceDE w:val="0"/>
              <w:autoSpaceDN w:val="0"/>
              <w:adjustRightInd w:val="0"/>
              <w:snapToGrid w:val="0"/>
              <w:spacing w:after="0" w:line="240" w:lineRule="auto"/>
              <w:rPr>
                <w:rFonts w:ascii="Palatino Linotype" w:hAnsi="Palatino Linotype" w:cs="Times New Roman"/>
                <w:color w:val="000000"/>
                <w:sz w:val="18"/>
                <w:szCs w:val="20"/>
                <w:lang w:val="en-US"/>
              </w:rPr>
            </w:pPr>
            <w:r w:rsidRPr="00095192">
              <w:rPr>
                <w:rFonts w:ascii="Palatino Linotype" w:hAnsi="Palatino Linotype" w:cs="Times New Roman"/>
                <w:color w:val="000000"/>
                <w:sz w:val="18"/>
                <w:szCs w:val="20"/>
                <w:lang w:val="en-US"/>
              </w:rPr>
              <w:t>87.0(7.3)</w:t>
            </w:r>
          </w:p>
        </w:tc>
        <w:tc>
          <w:tcPr>
            <w:tcW w:w="0" w:type="auto"/>
            <w:tcBorders>
              <w:top w:val="dotted" w:sz="4" w:space="0" w:color="000000" w:themeColor="text1"/>
              <w:left w:val="nil"/>
              <w:bottom w:val="dotted" w:sz="4" w:space="0" w:color="000000" w:themeColor="text1"/>
              <w:right w:val="nil"/>
            </w:tcBorders>
            <w:shd w:val="clear" w:color="auto" w:fill="auto"/>
          </w:tcPr>
          <w:p w14:paraId="191627B4" w14:textId="77777777" w:rsidR="00E826A9" w:rsidRPr="00095192" w:rsidRDefault="00E826A9" w:rsidP="0038054E">
            <w:pPr>
              <w:autoSpaceDE w:val="0"/>
              <w:autoSpaceDN w:val="0"/>
              <w:adjustRightInd w:val="0"/>
              <w:snapToGrid w:val="0"/>
              <w:spacing w:after="0" w:line="240" w:lineRule="auto"/>
              <w:rPr>
                <w:rFonts w:ascii="Palatino Linotype" w:hAnsi="Palatino Linotype" w:cs="Times New Roman"/>
                <w:color w:val="000000"/>
                <w:sz w:val="18"/>
                <w:szCs w:val="20"/>
                <w:lang w:val="en-US"/>
              </w:rPr>
            </w:pPr>
            <w:r w:rsidRPr="00095192">
              <w:rPr>
                <w:rFonts w:ascii="Palatino Linotype" w:hAnsi="Palatino Linotype" w:cs="Times New Roman"/>
                <w:color w:val="000000"/>
                <w:sz w:val="18"/>
                <w:szCs w:val="20"/>
                <w:lang w:val="en-US"/>
              </w:rPr>
              <w:t>87.8(24.0)</w:t>
            </w:r>
          </w:p>
        </w:tc>
        <w:tc>
          <w:tcPr>
            <w:tcW w:w="0" w:type="auto"/>
            <w:tcBorders>
              <w:top w:val="dotted" w:sz="4" w:space="0" w:color="000000" w:themeColor="text1"/>
              <w:left w:val="nil"/>
              <w:bottom w:val="dotted" w:sz="4" w:space="0" w:color="000000" w:themeColor="text1"/>
              <w:right w:val="nil"/>
            </w:tcBorders>
            <w:shd w:val="clear" w:color="auto" w:fill="auto"/>
          </w:tcPr>
          <w:p w14:paraId="01FDD88B" w14:textId="77777777" w:rsidR="00E826A9" w:rsidRPr="00095192" w:rsidRDefault="00E826A9" w:rsidP="0038054E">
            <w:pPr>
              <w:autoSpaceDE w:val="0"/>
              <w:autoSpaceDN w:val="0"/>
              <w:adjustRightInd w:val="0"/>
              <w:snapToGrid w:val="0"/>
              <w:spacing w:after="0" w:line="240" w:lineRule="auto"/>
              <w:rPr>
                <w:rFonts w:ascii="Palatino Linotype" w:hAnsi="Palatino Linotype" w:cs="Times New Roman"/>
                <w:color w:val="000000"/>
                <w:sz w:val="18"/>
                <w:szCs w:val="20"/>
                <w:lang w:val="en-US"/>
              </w:rPr>
            </w:pPr>
            <w:r w:rsidRPr="00095192">
              <w:rPr>
                <w:rFonts w:ascii="Palatino Linotype" w:hAnsi="Palatino Linotype" w:cs="Times New Roman"/>
                <w:color w:val="000000"/>
                <w:sz w:val="18"/>
                <w:szCs w:val="20"/>
                <w:lang w:val="en-US"/>
              </w:rPr>
              <w:t>84.8(11.1)</w:t>
            </w:r>
          </w:p>
        </w:tc>
        <w:tc>
          <w:tcPr>
            <w:tcW w:w="0" w:type="auto"/>
            <w:tcBorders>
              <w:top w:val="dotted" w:sz="4" w:space="0" w:color="000000" w:themeColor="text1"/>
              <w:left w:val="nil"/>
              <w:bottom w:val="dotted" w:sz="4" w:space="0" w:color="000000" w:themeColor="text1"/>
              <w:right w:val="nil"/>
            </w:tcBorders>
            <w:shd w:val="clear" w:color="auto" w:fill="auto"/>
          </w:tcPr>
          <w:p w14:paraId="02691029" w14:textId="77777777" w:rsidR="00E826A9" w:rsidRPr="00095192" w:rsidRDefault="00E826A9" w:rsidP="0038054E">
            <w:pPr>
              <w:autoSpaceDE w:val="0"/>
              <w:autoSpaceDN w:val="0"/>
              <w:adjustRightInd w:val="0"/>
              <w:snapToGrid w:val="0"/>
              <w:spacing w:after="0" w:line="240" w:lineRule="auto"/>
              <w:rPr>
                <w:rFonts w:ascii="Palatino Linotype" w:hAnsi="Palatino Linotype" w:cs="Times New Roman"/>
                <w:color w:val="000000"/>
                <w:sz w:val="18"/>
                <w:szCs w:val="20"/>
                <w:lang w:val="en-US"/>
              </w:rPr>
            </w:pPr>
            <w:r w:rsidRPr="00095192">
              <w:rPr>
                <w:rFonts w:ascii="Palatino Linotype" w:hAnsi="Palatino Linotype" w:cs="Times New Roman"/>
                <w:color w:val="000000"/>
                <w:sz w:val="18"/>
                <w:szCs w:val="20"/>
                <w:lang w:val="en-US"/>
              </w:rPr>
              <w:t>82.4(10.</w:t>
            </w:r>
            <w:proofErr w:type="gramStart"/>
            <w:r w:rsidRPr="00095192">
              <w:rPr>
                <w:rFonts w:ascii="Palatino Linotype" w:hAnsi="Palatino Linotype" w:cs="Times New Roman"/>
                <w:color w:val="000000"/>
                <w:sz w:val="18"/>
                <w:szCs w:val="20"/>
                <w:lang w:val="en-US"/>
              </w:rPr>
              <w:t>1)†</w:t>
            </w:r>
            <w:proofErr w:type="gramEnd"/>
          </w:p>
        </w:tc>
      </w:tr>
      <w:tr w:rsidR="00E826A9" w:rsidRPr="00095192" w14:paraId="5C45B992" w14:textId="77777777" w:rsidTr="0038054E">
        <w:trPr>
          <w:jc w:val="center"/>
        </w:trPr>
        <w:tc>
          <w:tcPr>
            <w:tcW w:w="0" w:type="auto"/>
            <w:gridSpan w:val="5"/>
            <w:tcBorders>
              <w:top w:val="dotted" w:sz="4" w:space="0" w:color="000000" w:themeColor="text1"/>
              <w:left w:val="nil"/>
              <w:bottom w:val="dotted" w:sz="4" w:space="0" w:color="000000" w:themeColor="text1"/>
              <w:right w:val="nil"/>
            </w:tcBorders>
            <w:shd w:val="clear" w:color="auto" w:fill="auto"/>
            <w:hideMark/>
          </w:tcPr>
          <w:p w14:paraId="2270CBC3" w14:textId="77777777" w:rsidR="00E826A9" w:rsidRPr="00095192" w:rsidRDefault="00E826A9" w:rsidP="0038054E">
            <w:pPr>
              <w:autoSpaceDE w:val="0"/>
              <w:autoSpaceDN w:val="0"/>
              <w:adjustRightInd w:val="0"/>
              <w:snapToGrid w:val="0"/>
              <w:spacing w:after="0" w:line="240" w:lineRule="auto"/>
              <w:jc w:val="left"/>
              <w:rPr>
                <w:rFonts w:ascii="Palatino Linotype" w:hAnsi="Palatino Linotype" w:cs="Times New Roman"/>
                <w:b/>
                <w:bCs/>
                <w:color w:val="000000"/>
                <w:sz w:val="18"/>
                <w:szCs w:val="20"/>
                <w:lang w:val="en-US"/>
              </w:rPr>
            </w:pPr>
            <w:r w:rsidRPr="00095192">
              <w:rPr>
                <w:rFonts w:ascii="Palatino Linotype" w:hAnsi="Palatino Linotype" w:cs="Times New Roman"/>
                <w:b/>
                <w:bCs/>
                <w:color w:val="000000"/>
                <w:sz w:val="18"/>
                <w:szCs w:val="20"/>
                <w:lang w:val="en-US"/>
              </w:rPr>
              <w:t>Nucleus</w:t>
            </w:r>
          </w:p>
        </w:tc>
      </w:tr>
      <w:tr w:rsidR="00E826A9" w:rsidRPr="00095192" w14:paraId="03927039" w14:textId="77777777" w:rsidTr="0038054E">
        <w:trPr>
          <w:jc w:val="center"/>
        </w:trPr>
        <w:tc>
          <w:tcPr>
            <w:tcW w:w="0" w:type="auto"/>
            <w:tcBorders>
              <w:top w:val="dotted" w:sz="4" w:space="0" w:color="000000" w:themeColor="text1"/>
              <w:left w:val="nil"/>
              <w:bottom w:val="dotted" w:sz="4" w:space="0" w:color="000000" w:themeColor="text1"/>
              <w:right w:val="nil"/>
            </w:tcBorders>
            <w:shd w:val="clear" w:color="auto" w:fill="auto"/>
            <w:hideMark/>
          </w:tcPr>
          <w:p w14:paraId="79ECF379" w14:textId="77777777" w:rsidR="00E826A9" w:rsidRPr="00095192" w:rsidRDefault="00E826A9" w:rsidP="0038054E">
            <w:pPr>
              <w:autoSpaceDE w:val="0"/>
              <w:autoSpaceDN w:val="0"/>
              <w:adjustRightInd w:val="0"/>
              <w:snapToGrid w:val="0"/>
              <w:spacing w:after="0" w:line="240" w:lineRule="auto"/>
              <w:rPr>
                <w:rFonts w:ascii="Palatino Linotype" w:hAnsi="Palatino Linotype" w:cs="Times New Roman"/>
                <w:color w:val="000000"/>
                <w:sz w:val="18"/>
                <w:szCs w:val="20"/>
                <w:lang w:val="en-US"/>
              </w:rPr>
            </w:pPr>
            <w:r w:rsidRPr="00095192">
              <w:rPr>
                <w:rFonts w:ascii="Palatino Linotype" w:hAnsi="Palatino Linotype" w:cs="Times New Roman"/>
                <w:color w:val="000000"/>
                <w:sz w:val="18"/>
                <w:szCs w:val="20"/>
                <w:lang w:val="en-US"/>
              </w:rPr>
              <w:t xml:space="preserve">     T2-mapping (ms)</w:t>
            </w:r>
          </w:p>
        </w:tc>
        <w:tc>
          <w:tcPr>
            <w:tcW w:w="0" w:type="auto"/>
            <w:tcBorders>
              <w:top w:val="dotted" w:sz="4" w:space="0" w:color="000000" w:themeColor="text1"/>
              <w:left w:val="nil"/>
              <w:bottom w:val="dotted" w:sz="4" w:space="0" w:color="000000" w:themeColor="text1"/>
              <w:right w:val="nil"/>
            </w:tcBorders>
            <w:shd w:val="clear" w:color="auto" w:fill="auto"/>
            <w:hideMark/>
          </w:tcPr>
          <w:p w14:paraId="12455635" w14:textId="77777777" w:rsidR="00E826A9" w:rsidRPr="00095192" w:rsidRDefault="00E826A9" w:rsidP="0038054E">
            <w:pPr>
              <w:autoSpaceDE w:val="0"/>
              <w:autoSpaceDN w:val="0"/>
              <w:adjustRightInd w:val="0"/>
              <w:snapToGrid w:val="0"/>
              <w:spacing w:after="0" w:line="240" w:lineRule="auto"/>
              <w:rPr>
                <w:rFonts w:ascii="Palatino Linotype" w:hAnsi="Palatino Linotype" w:cs="Times New Roman"/>
                <w:color w:val="000000"/>
                <w:sz w:val="18"/>
                <w:szCs w:val="20"/>
                <w:lang w:val="en-US"/>
              </w:rPr>
            </w:pPr>
            <w:r w:rsidRPr="00095192">
              <w:rPr>
                <w:rFonts w:ascii="Palatino Linotype" w:hAnsi="Palatino Linotype" w:cs="Times New Roman"/>
                <w:color w:val="000000"/>
                <w:sz w:val="18"/>
                <w:szCs w:val="20"/>
                <w:lang w:val="en-US"/>
              </w:rPr>
              <w:t>166.0(25.0)</w:t>
            </w:r>
          </w:p>
        </w:tc>
        <w:tc>
          <w:tcPr>
            <w:tcW w:w="0" w:type="auto"/>
            <w:tcBorders>
              <w:top w:val="dotted" w:sz="4" w:space="0" w:color="000000" w:themeColor="text1"/>
              <w:left w:val="nil"/>
              <w:bottom w:val="dotted" w:sz="4" w:space="0" w:color="000000" w:themeColor="text1"/>
              <w:right w:val="nil"/>
            </w:tcBorders>
            <w:shd w:val="clear" w:color="auto" w:fill="auto"/>
            <w:hideMark/>
          </w:tcPr>
          <w:p w14:paraId="0908DC70" w14:textId="77777777" w:rsidR="00E826A9" w:rsidRPr="00095192" w:rsidRDefault="00E826A9" w:rsidP="0038054E">
            <w:pPr>
              <w:autoSpaceDE w:val="0"/>
              <w:autoSpaceDN w:val="0"/>
              <w:adjustRightInd w:val="0"/>
              <w:snapToGrid w:val="0"/>
              <w:spacing w:after="0" w:line="240" w:lineRule="auto"/>
              <w:rPr>
                <w:rFonts w:ascii="Palatino Linotype" w:hAnsi="Palatino Linotype" w:cs="Times New Roman"/>
                <w:color w:val="000000"/>
                <w:sz w:val="18"/>
                <w:szCs w:val="20"/>
                <w:lang w:val="en-US"/>
              </w:rPr>
            </w:pPr>
            <w:r w:rsidRPr="00095192">
              <w:rPr>
                <w:rFonts w:ascii="Palatino Linotype" w:hAnsi="Palatino Linotype" w:cs="Times New Roman"/>
                <w:color w:val="000000"/>
                <w:sz w:val="18"/>
                <w:szCs w:val="20"/>
                <w:lang w:val="en-US"/>
              </w:rPr>
              <w:t>137.1(81.</w:t>
            </w:r>
            <w:proofErr w:type="gramStart"/>
            <w:r w:rsidRPr="00095192">
              <w:rPr>
                <w:rFonts w:ascii="Palatino Linotype" w:hAnsi="Palatino Linotype" w:cs="Times New Roman"/>
                <w:color w:val="000000"/>
                <w:sz w:val="18"/>
                <w:szCs w:val="20"/>
                <w:lang w:val="en-US"/>
              </w:rPr>
              <w:t>8)‡</w:t>
            </w:r>
            <w:proofErr w:type="gramEnd"/>
          </w:p>
        </w:tc>
        <w:tc>
          <w:tcPr>
            <w:tcW w:w="0" w:type="auto"/>
            <w:tcBorders>
              <w:top w:val="dotted" w:sz="4" w:space="0" w:color="000000" w:themeColor="text1"/>
              <w:left w:val="nil"/>
              <w:bottom w:val="dotted" w:sz="4" w:space="0" w:color="000000" w:themeColor="text1"/>
              <w:right w:val="nil"/>
            </w:tcBorders>
            <w:shd w:val="clear" w:color="auto" w:fill="auto"/>
            <w:hideMark/>
          </w:tcPr>
          <w:p w14:paraId="33FD7C78" w14:textId="77777777" w:rsidR="00E826A9" w:rsidRPr="00095192" w:rsidRDefault="00E826A9" w:rsidP="0038054E">
            <w:pPr>
              <w:autoSpaceDE w:val="0"/>
              <w:autoSpaceDN w:val="0"/>
              <w:adjustRightInd w:val="0"/>
              <w:snapToGrid w:val="0"/>
              <w:spacing w:after="0" w:line="240" w:lineRule="auto"/>
              <w:rPr>
                <w:rFonts w:ascii="Palatino Linotype" w:hAnsi="Palatino Linotype" w:cs="Times New Roman"/>
                <w:color w:val="000000"/>
                <w:sz w:val="18"/>
                <w:szCs w:val="20"/>
                <w:lang w:val="en-US"/>
              </w:rPr>
            </w:pPr>
            <w:r w:rsidRPr="00095192">
              <w:rPr>
                <w:rFonts w:ascii="Palatino Linotype" w:hAnsi="Palatino Linotype" w:cs="Times New Roman"/>
                <w:color w:val="000000"/>
                <w:sz w:val="18"/>
                <w:szCs w:val="20"/>
                <w:lang w:val="en-US"/>
              </w:rPr>
              <w:t>103.9(37.</w:t>
            </w:r>
            <w:proofErr w:type="gramStart"/>
            <w:r w:rsidRPr="00095192">
              <w:rPr>
                <w:rFonts w:ascii="Palatino Linotype" w:hAnsi="Palatino Linotype" w:cs="Times New Roman"/>
                <w:color w:val="000000"/>
                <w:sz w:val="18"/>
                <w:szCs w:val="20"/>
                <w:lang w:val="en-US"/>
              </w:rPr>
              <w:t>7)‡</w:t>
            </w:r>
            <w:proofErr w:type="gramEnd"/>
          </w:p>
        </w:tc>
        <w:tc>
          <w:tcPr>
            <w:tcW w:w="0" w:type="auto"/>
            <w:tcBorders>
              <w:top w:val="dotted" w:sz="4" w:space="0" w:color="000000" w:themeColor="text1"/>
              <w:left w:val="nil"/>
              <w:bottom w:val="dotted" w:sz="4" w:space="0" w:color="000000" w:themeColor="text1"/>
              <w:right w:val="nil"/>
            </w:tcBorders>
            <w:shd w:val="clear" w:color="auto" w:fill="auto"/>
            <w:hideMark/>
          </w:tcPr>
          <w:p w14:paraId="1E9CE1E2" w14:textId="77777777" w:rsidR="00E826A9" w:rsidRPr="00095192" w:rsidRDefault="00E826A9" w:rsidP="0038054E">
            <w:pPr>
              <w:autoSpaceDE w:val="0"/>
              <w:autoSpaceDN w:val="0"/>
              <w:adjustRightInd w:val="0"/>
              <w:snapToGrid w:val="0"/>
              <w:spacing w:after="0" w:line="240" w:lineRule="auto"/>
              <w:rPr>
                <w:rFonts w:ascii="Palatino Linotype" w:hAnsi="Palatino Linotype" w:cs="Times New Roman"/>
                <w:color w:val="000000"/>
                <w:sz w:val="18"/>
                <w:szCs w:val="20"/>
                <w:lang w:val="en-US"/>
              </w:rPr>
            </w:pPr>
            <w:r w:rsidRPr="00095192">
              <w:rPr>
                <w:rFonts w:ascii="Palatino Linotype" w:hAnsi="Palatino Linotype" w:cs="Times New Roman"/>
                <w:color w:val="000000"/>
                <w:sz w:val="18"/>
                <w:szCs w:val="20"/>
                <w:lang w:val="en-US"/>
              </w:rPr>
              <w:t>89.0(34.</w:t>
            </w:r>
            <w:proofErr w:type="gramStart"/>
            <w:r w:rsidRPr="00095192">
              <w:rPr>
                <w:rFonts w:ascii="Palatino Linotype" w:hAnsi="Palatino Linotype" w:cs="Times New Roman"/>
                <w:color w:val="000000"/>
                <w:sz w:val="18"/>
                <w:szCs w:val="20"/>
                <w:lang w:val="en-US"/>
              </w:rPr>
              <w:t>4)‡</w:t>
            </w:r>
            <w:proofErr w:type="gramEnd"/>
          </w:p>
        </w:tc>
      </w:tr>
      <w:tr w:rsidR="00E826A9" w:rsidRPr="00095192" w14:paraId="073DFA0E" w14:textId="77777777" w:rsidTr="0038054E">
        <w:trPr>
          <w:jc w:val="center"/>
        </w:trPr>
        <w:tc>
          <w:tcPr>
            <w:tcW w:w="0" w:type="auto"/>
            <w:tcBorders>
              <w:top w:val="dotted" w:sz="4" w:space="0" w:color="000000" w:themeColor="text1"/>
              <w:left w:val="nil"/>
              <w:bottom w:val="dotted" w:sz="4" w:space="0" w:color="000000" w:themeColor="text1"/>
              <w:right w:val="nil"/>
            </w:tcBorders>
            <w:shd w:val="clear" w:color="auto" w:fill="auto"/>
          </w:tcPr>
          <w:p w14:paraId="23E7FB5F" w14:textId="77777777" w:rsidR="00E826A9" w:rsidRPr="00095192" w:rsidRDefault="00E826A9" w:rsidP="0038054E">
            <w:pPr>
              <w:autoSpaceDE w:val="0"/>
              <w:autoSpaceDN w:val="0"/>
              <w:adjustRightInd w:val="0"/>
              <w:snapToGrid w:val="0"/>
              <w:spacing w:after="0" w:line="240" w:lineRule="auto"/>
              <w:rPr>
                <w:rFonts w:ascii="Palatino Linotype" w:hAnsi="Palatino Linotype" w:cs="Times New Roman"/>
                <w:color w:val="000000"/>
                <w:sz w:val="18"/>
                <w:szCs w:val="20"/>
                <w:lang w:val="en-US"/>
              </w:rPr>
            </w:pPr>
            <w:r w:rsidRPr="00095192">
              <w:rPr>
                <w:rFonts w:ascii="Palatino Linotype" w:hAnsi="Palatino Linotype" w:cs="Times New Roman"/>
                <w:color w:val="000000"/>
                <w:sz w:val="18"/>
                <w:szCs w:val="20"/>
                <w:lang w:val="en-US"/>
              </w:rPr>
              <w:t xml:space="preserve">     T2w-SI (no unit)</w:t>
            </w:r>
          </w:p>
        </w:tc>
        <w:tc>
          <w:tcPr>
            <w:tcW w:w="0" w:type="auto"/>
            <w:tcBorders>
              <w:top w:val="dotted" w:sz="4" w:space="0" w:color="000000" w:themeColor="text1"/>
              <w:left w:val="nil"/>
              <w:bottom w:val="dotted" w:sz="4" w:space="0" w:color="000000" w:themeColor="text1"/>
              <w:right w:val="nil"/>
            </w:tcBorders>
            <w:shd w:val="clear" w:color="auto" w:fill="auto"/>
          </w:tcPr>
          <w:p w14:paraId="15A33BFD" w14:textId="77777777" w:rsidR="00E826A9" w:rsidRPr="00095192" w:rsidRDefault="00E826A9" w:rsidP="0038054E">
            <w:pPr>
              <w:autoSpaceDE w:val="0"/>
              <w:autoSpaceDN w:val="0"/>
              <w:adjustRightInd w:val="0"/>
              <w:snapToGrid w:val="0"/>
              <w:spacing w:after="0" w:line="240" w:lineRule="auto"/>
              <w:rPr>
                <w:rFonts w:ascii="Palatino Linotype" w:hAnsi="Palatino Linotype" w:cs="Times New Roman"/>
                <w:color w:val="000000"/>
                <w:sz w:val="18"/>
                <w:szCs w:val="20"/>
                <w:lang w:val="en-US"/>
              </w:rPr>
            </w:pPr>
            <w:r w:rsidRPr="00095192">
              <w:rPr>
                <w:rFonts w:ascii="Palatino Linotype" w:hAnsi="Palatino Linotype" w:cs="Times New Roman"/>
                <w:sz w:val="18"/>
                <w:szCs w:val="20"/>
                <w:lang w:val="en-US"/>
              </w:rPr>
              <w:t>551(72)</w:t>
            </w:r>
          </w:p>
        </w:tc>
        <w:tc>
          <w:tcPr>
            <w:tcW w:w="0" w:type="auto"/>
            <w:tcBorders>
              <w:top w:val="dotted" w:sz="4" w:space="0" w:color="000000" w:themeColor="text1"/>
              <w:left w:val="nil"/>
              <w:bottom w:val="dotted" w:sz="4" w:space="0" w:color="000000" w:themeColor="text1"/>
              <w:right w:val="nil"/>
            </w:tcBorders>
            <w:shd w:val="clear" w:color="auto" w:fill="auto"/>
          </w:tcPr>
          <w:p w14:paraId="32410F89" w14:textId="77777777" w:rsidR="00E826A9" w:rsidRPr="00095192" w:rsidRDefault="00E826A9" w:rsidP="0038054E">
            <w:pPr>
              <w:autoSpaceDE w:val="0"/>
              <w:autoSpaceDN w:val="0"/>
              <w:adjustRightInd w:val="0"/>
              <w:snapToGrid w:val="0"/>
              <w:spacing w:after="0" w:line="240" w:lineRule="auto"/>
              <w:rPr>
                <w:rFonts w:ascii="Palatino Linotype" w:hAnsi="Palatino Linotype" w:cs="Times New Roman"/>
                <w:color w:val="000000"/>
                <w:sz w:val="18"/>
                <w:szCs w:val="20"/>
                <w:lang w:val="en-US"/>
              </w:rPr>
            </w:pPr>
            <w:r w:rsidRPr="00095192">
              <w:rPr>
                <w:rFonts w:ascii="Palatino Linotype" w:hAnsi="Palatino Linotype" w:cs="Times New Roman"/>
                <w:sz w:val="18"/>
                <w:szCs w:val="20"/>
                <w:lang w:val="en-US"/>
              </w:rPr>
              <w:t>492(</w:t>
            </w:r>
            <w:proofErr w:type="gramStart"/>
            <w:r w:rsidRPr="00095192">
              <w:rPr>
                <w:rFonts w:ascii="Palatino Linotype" w:hAnsi="Palatino Linotype" w:cs="Times New Roman"/>
                <w:sz w:val="18"/>
                <w:szCs w:val="20"/>
                <w:lang w:val="en-US"/>
              </w:rPr>
              <w:t>236)‡</w:t>
            </w:r>
            <w:proofErr w:type="gramEnd"/>
          </w:p>
        </w:tc>
        <w:tc>
          <w:tcPr>
            <w:tcW w:w="0" w:type="auto"/>
            <w:tcBorders>
              <w:top w:val="dotted" w:sz="4" w:space="0" w:color="000000" w:themeColor="text1"/>
              <w:left w:val="nil"/>
              <w:bottom w:val="dotted" w:sz="4" w:space="0" w:color="000000" w:themeColor="text1"/>
              <w:right w:val="nil"/>
            </w:tcBorders>
            <w:shd w:val="clear" w:color="auto" w:fill="auto"/>
          </w:tcPr>
          <w:p w14:paraId="04FDBE35" w14:textId="77777777" w:rsidR="00E826A9" w:rsidRPr="00095192" w:rsidRDefault="00E826A9" w:rsidP="0038054E">
            <w:pPr>
              <w:autoSpaceDE w:val="0"/>
              <w:autoSpaceDN w:val="0"/>
              <w:adjustRightInd w:val="0"/>
              <w:snapToGrid w:val="0"/>
              <w:spacing w:after="0" w:line="240" w:lineRule="auto"/>
              <w:rPr>
                <w:rFonts w:ascii="Palatino Linotype" w:hAnsi="Palatino Linotype" w:cs="Times New Roman"/>
                <w:color w:val="000000"/>
                <w:sz w:val="18"/>
                <w:szCs w:val="20"/>
                <w:lang w:val="en-US"/>
              </w:rPr>
            </w:pPr>
            <w:r w:rsidRPr="00095192">
              <w:rPr>
                <w:rFonts w:ascii="Palatino Linotype" w:hAnsi="Palatino Linotype" w:cs="Times New Roman"/>
                <w:sz w:val="18"/>
                <w:szCs w:val="20"/>
                <w:lang w:val="en-US"/>
              </w:rPr>
              <w:t>377(</w:t>
            </w:r>
            <w:proofErr w:type="gramStart"/>
            <w:r w:rsidRPr="00095192">
              <w:rPr>
                <w:rFonts w:ascii="Palatino Linotype" w:hAnsi="Palatino Linotype" w:cs="Times New Roman"/>
                <w:sz w:val="18"/>
                <w:szCs w:val="20"/>
                <w:lang w:val="en-US"/>
              </w:rPr>
              <w:t>109)‡</w:t>
            </w:r>
            <w:proofErr w:type="gramEnd"/>
          </w:p>
        </w:tc>
        <w:tc>
          <w:tcPr>
            <w:tcW w:w="0" w:type="auto"/>
            <w:tcBorders>
              <w:top w:val="dotted" w:sz="4" w:space="0" w:color="000000" w:themeColor="text1"/>
              <w:left w:val="nil"/>
              <w:bottom w:val="dotted" w:sz="4" w:space="0" w:color="000000" w:themeColor="text1"/>
              <w:right w:val="nil"/>
            </w:tcBorders>
            <w:shd w:val="clear" w:color="auto" w:fill="auto"/>
          </w:tcPr>
          <w:p w14:paraId="1576BD04" w14:textId="77777777" w:rsidR="00E826A9" w:rsidRPr="00095192" w:rsidRDefault="00E826A9" w:rsidP="0038054E">
            <w:pPr>
              <w:autoSpaceDE w:val="0"/>
              <w:autoSpaceDN w:val="0"/>
              <w:adjustRightInd w:val="0"/>
              <w:snapToGrid w:val="0"/>
              <w:spacing w:after="0" w:line="240" w:lineRule="auto"/>
              <w:rPr>
                <w:rFonts w:ascii="Palatino Linotype" w:hAnsi="Palatino Linotype" w:cs="Times New Roman"/>
                <w:color w:val="000000"/>
                <w:sz w:val="18"/>
                <w:szCs w:val="20"/>
                <w:lang w:val="en-US"/>
              </w:rPr>
            </w:pPr>
            <w:r w:rsidRPr="00095192">
              <w:rPr>
                <w:rFonts w:ascii="Palatino Linotype" w:hAnsi="Palatino Linotype" w:cs="Times New Roman"/>
                <w:sz w:val="18"/>
                <w:szCs w:val="20"/>
                <w:lang w:val="en-US"/>
              </w:rPr>
              <w:t>271(</w:t>
            </w:r>
            <w:proofErr w:type="gramStart"/>
            <w:r w:rsidRPr="00095192">
              <w:rPr>
                <w:rFonts w:ascii="Palatino Linotype" w:hAnsi="Palatino Linotype" w:cs="Times New Roman"/>
                <w:sz w:val="18"/>
                <w:szCs w:val="20"/>
                <w:lang w:val="en-US"/>
              </w:rPr>
              <w:t>99)‡</w:t>
            </w:r>
            <w:proofErr w:type="gramEnd"/>
          </w:p>
        </w:tc>
      </w:tr>
      <w:tr w:rsidR="00E826A9" w:rsidRPr="00095192" w14:paraId="16D274BA" w14:textId="77777777" w:rsidTr="0038054E">
        <w:trPr>
          <w:jc w:val="center"/>
        </w:trPr>
        <w:tc>
          <w:tcPr>
            <w:tcW w:w="0" w:type="auto"/>
            <w:tcBorders>
              <w:top w:val="dotted" w:sz="4" w:space="0" w:color="000000" w:themeColor="text1"/>
              <w:left w:val="nil"/>
              <w:bottom w:val="dotted" w:sz="4" w:space="0" w:color="000000" w:themeColor="text1"/>
              <w:right w:val="nil"/>
            </w:tcBorders>
            <w:shd w:val="clear" w:color="auto" w:fill="auto"/>
          </w:tcPr>
          <w:p w14:paraId="6FAE9604" w14:textId="77777777" w:rsidR="00E826A9" w:rsidRPr="00095192" w:rsidRDefault="00E826A9" w:rsidP="0038054E">
            <w:pPr>
              <w:autoSpaceDE w:val="0"/>
              <w:autoSpaceDN w:val="0"/>
              <w:adjustRightInd w:val="0"/>
              <w:snapToGrid w:val="0"/>
              <w:spacing w:after="0" w:line="240" w:lineRule="auto"/>
              <w:rPr>
                <w:rFonts w:ascii="Palatino Linotype" w:hAnsi="Palatino Linotype" w:cs="Times New Roman"/>
                <w:color w:val="000000"/>
                <w:sz w:val="18"/>
                <w:szCs w:val="20"/>
                <w:lang w:val="en-US"/>
              </w:rPr>
            </w:pPr>
            <w:r w:rsidRPr="00095192">
              <w:rPr>
                <w:rFonts w:ascii="Palatino Linotype" w:hAnsi="Palatino Linotype" w:cs="Times New Roman"/>
                <w:color w:val="000000"/>
                <w:sz w:val="18"/>
                <w:szCs w:val="20"/>
                <w:lang w:val="en-US"/>
              </w:rPr>
              <w:t xml:space="preserve">     Dixon (%)</w:t>
            </w:r>
          </w:p>
        </w:tc>
        <w:tc>
          <w:tcPr>
            <w:tcW w:w="0" w:type="auto"/>
            <w:tcBorders>
              <w:top w:val="dotted" w:sz="4" w:space="0" w:color="000000" w:themeColor="text1"/>
              <w:left w:val="nil"/>
              <w:bottom w:val="dotted" w:sz="4" w:space="0" w:color="000000" w:themeColor="text1"/>
              <w:right w:val="nil"/>
            </w:tcBorders>
            <w:shd w:val="clear" w:color="auto" w:fill="auto"/>
          </w:tcPr>
          <w:p w14:paraId="17BE1ABB" w14:textId="77777777" w:rsidR="00E826A9" w:rsidRPr="00095192" w:rsidRDefault="00E826A9" w:rsidP="0038054E">
            <w:pPr>
              <w:autoSpaceDE w:val="0"/>
              <w:autoSpaceDN w:val="0"/>
              <w:adjustRightInd w:val="0"/>
              <w:snapToGrid w:val="0"/>
              <w:spacing w:after="0" w:line="240" w:lineRule="auto"/>
              <w:rPr>
                <w:rFonts w:ascii="Palatino Linotype" w:hAnsi="Palatino Linotype" w:cs="Times New Roman"/>
                <w:color w:val="000000"/>
                <w:sz w:val="18"/>
                <w:szCs w:val="20"/>
                <w:lang w:val="en-US"/>
              </w:rPr>
            </w:pPr>
            <w:r w:rsidRPr="00095192">
              <w:rPr>
                <w:rFonts w:ascii="Palatino Linotype" w:hAnsi="Palatino Linotype" w:cs="Times New Roman"/>
                <w:color w:val="000000"/>
                <w:sz w:val="18"/>
                <w:szCs w:val="20"/>
                <w:lang w:val="en-US"/>
              </w:rPr>
              <w:t>87.2(7.9)</w:t>
            </w:r>
          </w:p>
        </w:tc>
        <w:tc>
          <w:tcPr>
            <w:tcW w:w="0" w:type="auto"/>
            <w:tcBorders>
              <w:top w:val="dotted" w:sz="4" w:space="0" w:color="000000" w:themeColor="text1"/>
              <w:left w:val="nil"/>
              <w:bottom w:val="dotted" w:sz="4" w:space="0" w:color="000000" w:themeColor="text1"/>
              <w:right w:val="nil"/>
            </w:tcBorders>
            <w:shd w:val="clear" w:color="auto" w:fill="auto"/>
          </w:tcPr>
          <w:p w14:paraId="73143466" w14:textId="77777777" w:rsidR="00E826A9" w:rsidRPr="00095192" w:rsidRDefault="00E826A9" w:rsidP="0038054E">
            <w:pPr>
              <w:autoSpaceDE w:val="0"/>
              <w:autoSpaceDN w:val="0"/>
              <w:adjustRightInd w:val="0"/>
              <w:snapToGrid w:val="0"/>
              <w:spacing w:after="0" w:line="240" w:lineRule="auto"/>
              <w:rPr>
                <w:rFonts w:ascii="Palatino Linotype" w:hAnsi="Palatino Linotype" w:cs="Times New Roman"/>
                <w:color w:val="000000"/>
                <w:sz w:val="18"/>
                <w:szCs w:val="20"/>
                <w:lang w:val="en-US"/>
              </w:rPr>
            </w:pPr>
            <w:r w:rsidRPr="00095192">
              <w:rPr>
                <w:rFonts w:ascii="Palatino Linotype" w:hAnsi="Palatino Linotype" w:cs="Times New Roman"/>
                <w:color w:val="000000"/>
                <w:sz w:val="18"/>
                <w:szCs w:val="20"/>
                <w:lang w:val="en-US"/>
              </w:rPr>
              <w:t>88.1(25.9)</w:t>
            </w:r>
          </w:p>
        </w:tc>
        <w:tc>
          <w:tcPr>
            <w:tcW w:w="0" w:type="auto"/>
            <w:tcBorders>
              <w:top w:val="dotted" w:sz="4" w:space="0" w:color="000000" w:themeColor="text1"/>
              <w:left w:val="nil"/>
              <w:bottom w:val="dotted" w:sz="4" w:space="0" w:color="000000" w:themeColor="text1"/>
              <w:right w:val="nil"/>
            </w:tcBorders>
            <w:shd w:val="clear" w:color="auto" w:fill="auto"/>
          </w:tcPr>
          <w:p w14:paraId="692B1D4C" w14:textId="77777777" w:rsidR="00E826A9" w:rsidRPr="00095192" w:rsidRDefault="00E826A9" w:rsidP="0038054E">
            <w:pPr>
              <w:autoSpaceDE w:val="0"/>
              <w:autoSpaceDN w:val="0"/>
              <w:adjustRightInd w:val="0"/>
              <w:snapToGrid w:val="0"/>
              <w:spacing w:after="0" w:line="240" w:lineRule="auto"/>
              <w:rPr>
                <w:rFonts w:ascii="Palatino Linotype" w:hAnsi="Palatino Linotype" w:cs="Times New Roman"/>
                <w:color w:val="000000"/>
                <w:sz w:val="18"/>
                <w:szCs w:val="20"/>
                <w:lang w:val="en-US"/>
              </w:rPr>
            </w:pPr>
            <w:r w:rsidRPr="00095192">
              <w:rPr>
                <w:rFonts w:ascii="Palatino Linotype" w:hAnsi="Palatino Linotype" w:cs="Times New Roman"/>
                <w:color w:val="000000"/>
                <w:sz w:val="18"/>
                <w:szCs w:val="20"/>
                <w:lang w:val="en-US"/>
              </w:rPr>
              <w:t>84.8(11.9)</w:t>
            </w:r>
          </w:p>
        </w:tc>
        <w:tc>
          <w:tcPr>
            <w:tcW w:w="0" w:type="auto"/>
            <w:tcBorders>
              <w:top w:val="dotted" w:sz="4" w:space="0" w:color="000000" w:themeColor="text1"/>
              <w:left w:val="nil"/>
              <w:bottom w:val="dotted" w:sz="4" w:space="0" w:color="000000" w:themeColor="text1"/>
              <w:right w:val="nil"/>
            </w:tcBorders>
            <w:shd w:val="clear" w:color="auto" w:fill="auto"/>
          </w:tcPr>
          <w:p w14:paraId="360FCA58" w14:textId="77777777" w:rsidR="00E826A9" w:rsidRPr="00095192" w:rsidRDefault="00E826A9" w:rsidP="0038054E">
            <w:pPr>
              <w:autoSpaceDE w:val="0"/>
              <w:autoSpaceDN w:val="0"/>
              <w:adjustRightInd w:val="0"/>
              <w:snapToGrid w:val="0"/>
              <w:spacing w:after="0" w:line="240" w:lineRule="auto"/>
              <w:rPr>
                <w:rFonts w:ascii="Palatino Linotype" w:hAnsi="Palatino Linotype" w:cs="Times New Roman"/>
                <w:color w:val="000000"/>
                <w:sz w:val="18"/>
                <w:szCs w:val="20"/>
                <w:lang w:val="en-US"/>
              </w:rPr>
            </w:pPr>
            <w:r w:rsidRPr="00095192">
              <w:rPr>
                <w:rFonts w:ascii="Palatino Linotype" w:hAnsi="Palatino Linotype" w:cs="Times New Roman"/>
                <w:color w:val="000000"/>
                <w:sz w:val="18"/>
                <w:szCs w:val="20"/>
                <w:lang w:val="en-US"/>
              </w:rPr>
              <w:t>81.9(10.</w:t>
            </w:r>
            <w:proofErr w:type="gramStart"/>
            <w:r w:rsidRPr="00095192">
              <w:rPr>
                <w:rFonts w:ascii="Palatino Linotype" w:hAnsi="Palatino Linotype" w:cs="Times New Roman"/>
                <w:color w:val="000000"/>
                <w:sz w:val="18"/>
                <w:szCs w:val="20"/>
                <w:lang w:val="en-US"/>
              </w:rPr>
              <w:t>9)†</w:t>
            </w:r>
            <w:proofErr w:type="gramEnd"/>
          </w:p>
        </w:tc>
      </w:tr>
      <w:tr w:rsidR="00E826A9" w:rsidRPr="00095192" w14:paraId="57CF3E64" w14:textId="77777777" w:rsidTr="0038054E">
        <w:trPr>
          <w:jc w:val="center"/>
        </w:trPr>
        <w:tc>
          <w:tcPr>
            <w:tcW w:w="0" w:type="auto"/>
            <w:gridSpan w:val="5"/>
            <w:tcBorders>
              <w:top w:val="dotted" w:sz="4" w:space="0" w:color="000000" w:themeColor="text1"/>
              <w:left w:val="nil"/>
              <w:bottom w:val="dotted" w:sz="4" w:space="0" w:color="000000" w:themeColor="text1"/>
              <w:right w:val="nil"/>
            </w:tcBorders>
            <w:shd w:val="clear" w:color="auto" w:fill="auto"/>
            <w:hideMark/>
          </w:tcPr>
          <w:p w14:paraId="22D4C67C" w14:textId="77777777" w:rsidR="00E826A9" w:rsidRPr="00095192" w:rsidRDefault="00E826A9" w:rsidP="0038054E">
            <w:pPr>
              <w:autoSpaceDE w:val="0"/>
              <w:autoSpaceDN w:val="0"/>
              <w:adjustRightInd w:val="0"/>
              <w:snapToGrid w:val="0"/>
              <w:spacing w:after="0" w:line="240" w:lineRule="auto"/>
              <w:jc w:val="left"/>
              <w:rPr>
                <w:rFonts w:ascii="Palatino Linotype" w:hAnsi="Palatino Linotype" w:cs="Times New Roman"/>
                <w:b/>
                <w:bCs/>
                <w:color w:val="000000"/>
                <w:sz w:val="18"/>
                <w:szCs w:val="20"/>
                <w:lang w:val="en-US"/>
              </w:rPr>
            </w:pPr>
            <w:r w:rsidRPr="00095192">
              <w:rPr>
                <w:rFonts w:ascii="Palatino Linotype" w:hAnsi="Palatino Linotype" w:cs="Times New Roman"/>
                <w:b/>
                <w:bCs/>
                <w:color w:val="000000"/>
                <w:sz w:val="18"/>
                <w:szCs w:val="20"/>
                <w:lang w:val="en-US"/>
              </w:rPr>
              <w:t>Nucleus/annulus ratio</w:t>
            </w:r>
          </w:p>
        </w:tc>
      </w:tr>
      <w:tr w:rsidR="00E826A9" w:rsidRPr="00095192" w14:paraId="327D228B" w14:textId="77777777" w:rsidTr="0038054E">
        <w:trPr>
          <w:jc w:val="center"/>
        </w:trPr>
        <w:tc>
          <w:tcPr>
            <w:tcW w:w="0" w:type="auto"/>
            <w:tcBorders>
              <w:top w:val="dotted" w:sz="4" w:space="0" w:color="000000" w:themeColor="text1"/>
              <w:left w:val="nil"/>
              <w:bottom w:val="dotted" w:sz="4" w:space="0" w:color="000000" w:themeColor="text1"/>
              <w:right w:val="nil"/>
            </w:tcBorders>
            <w:shd w:val="clear" w:color="auto" w:fill="auto"/>
            <w:hideMark/>
          </w:tcPr>
          <w:p w14:paraId="449956C6" w14:textId="77777777" w:rsidR="00E826A9" w:rsidRPr="00095192" w:rsidRDefault="00E826A9" w:rsidP="0038054E">
            <w:pPr>
              <w:autoSpaceDE w:val="0"/>
              <w:autoSpaceDN w:val="0"/>
              <w:adjustRightInd w:val="0"/>
              <w:snapToGrid w:val="0"/>
              <w:spacing w:after="0" w:line="240" w:lineRule="auto"/>
              <w:rPr>
                <w:rFonts w:ascii="Palatino Linotype" w:hAnsi="Palatino Linotype" w:cs="Times New Roman"/>
                <w:color w:val="000000"/>
                <w:sz w:val="18"/>
                <w:szCs w:val="20"/>
                <w:lang w:val="en-US"/>
              </w:rPr>
            </w:pPr>
            <w:r w:rsidRPr="00095192">
              <w:rPr>
                <w:rFonts w:ascii="Palatino Linotype" w:hAnsi="Palatino Linotype" w:cs="Times New Roman"/>
                <w:color w:val="000000"/>
                <w:sz w:val="18"/>
                <w:szCs w:val="20"/>
                <w:lang w:val="en-US"/>
              </w:rPr>
              <w:t xml:space="preserve">     T2-mapping (ms)</w:t>
            </w:r>
          </w:p>
        </w:tc>
        <w:tc>
          <w:tcPr>
            <w:tcW w:w="0" w:type="auto"/>
            <w:tcBorders>
              <w:top w:val="dotted" w:sz="4" w:space="0" w:color="000000" w:themeColor="text1"/>
              <w:left w:val="nil"/>
              <w:bottom w:val="dotted" w:sz="4" w:space="0" w:color="000000" w:themeColor="text1"/>
              <w:right w:val="nil"/>
            </w:tcBorders>
            <w:shd w:val="clear" w:color="auto" w:fill="auto"/>
            <w:hideMark/>
          </w:tcPr>
          <w:p w14:paraId="49A2B89B" w14:textId="77777777" w:rsidR="00E826A9" w:rsidRPr="00095192" w:rsidRDefault="00E826A9" w:rsidP="0038054E">
            <w:pPr>
              <w:autoSpaceDE w:val="0"/>
              <w:autoSpaceDN w:val="0"/>
              <w:adjustRightInd w:val="0"/>
              <w:snapToGrid w:val="0"/>
              <w:spacing w:after="0" w:line="240" w:lineRule="auto"/>
              <w:rPr>
                <w:rFonts w:ascii="Palatino Linotype" w:hAnsi="Palatino Linotype" w:cs="Times New Roman"/>
                <w:color w:val="000000"/>
                <w:sz w:val="18"/>
                <w:szCs w:val="20"/>
                <w:lang w:val="en-US"/>
              </w:rPr>
            </w:pPr>
            <w:r w:rsidRPr="00095192">
              <w:rPr>
                <w:rFonts w:ascii="Palatino Linotype" w:hAnsi="Palatino Linotype" w:cs="Times New Roman"/>
                <w:color w:val="000000"/>
                <w:sz w:val="18"/>
                <w:szCs w:val="20"/>
                <w:lang w:val="en-US"/>
              </w:rPr>
              <w:t>1.8(0.3)</w:t>
            </w:r>
          </w:p>
        </w:tc>
        <w:tc>
          <w:tcPr>
            <w:tcW w:w="0" w:type="auto"/>
            <w:tcBorders>
              <w:top w:val="dotted" w:sz="4" w:space="0" w:color="000000" w:themeColor="text1"/>
              <w:left w:val="nil"/>
              <w:bottom w:val="dotted" w:sz="4" w:space="0" w:color="000000" w:themeColor="text1"/>
              <w:right w:val="nil"/>
            </w:tcBorders>
            <w:shd w:val="clear" w:color="auto" w:fill="auto"/>
            <w:hideMark/>
          </w:tcPr>
          <w:p w14:paraId="0290E183" w14:textId="77777777" w:rsidR="00E826A9" w:rsidRPr="00095192" w:rsidRDefault="00E826A9" w:rsidP="0038054E">
            <w:pPr>
              <w:autoSpaceDE w:val="0"/>
              <w:autoSpaceDN w:val="0"/>
              <w:adjustRightInd w:val="0"/>
              <w:snapToGrid w:val="0"/>
              <w:spacing w:after="0" w:line="240" w:lineRule="auto"/>
              <w:rPr>
                <w:rFonts w:ascii="Palatino Linotype" w:hAnsi="Palatino Linotype" w:cs="Times New Roman"/>
                <w:color w:val="000000"/>
                <w:sz w:val="18"/>
                <w:szCs w:val="20"/>
                <w:lang w:val="en-US"/>
              </w:rPr>
            </w:pPr>
            <w:r w:rsidRPr="00095192">
              <w:rPr>
                <w:rFonts w:ascii="Palatino Linotype" w:hAnsi="Palatino Linotype" w:cs="Times New Roman"/>
                <w:color w:val="000000"/>
                <w:sz w:val="18"/>
                <w:szCs w:val="20"/>
                <w:lang w:val="en-US"/>
              </w:rPr>
              <w:t>1.5(0.</w:t>
            </w:r>
            <w:proofErr w:type="gramStart"/>
            <w:r w:rsidRPr="00095192">
              <w:rPr>
                <w:rFonts w:ascii="Palatino Linotype" w:hAnsi="Palatino Linotype" w:cs="Times New Roman"/>
                <w:color w:val="000000"/>
                <w:sz w:val="18"/>
                <w:szCs w:val="20"/>
                <w:lang w:val="en-US"/>
              </w:rPr>
              <w:t>9)‡</w:t>
            </w:r>
            <w:proofErr w:type="gramEnd"/>
          </w:p>
        </w:tc>
        <w:tc>
          <w:tcPr>
            <w:tcW w:w="0" w:type="auto"/>
            <w:tcBorders>
              <w:top w:val="dotted" w:sz="4" w:space="0" w:color="000000" w:themeColor="text1"/>
              <w:left w:val="nil"/>
              <w:bottom w:val="dotted" w:sz="4" w:space="0" w:color="000000" w:themeColor="text1"/>
              <w:right w:val="nil"/>
            </w:tcBorders>
            <w:shd w:val="clear" w:color="auto" w:fill="auto"/>
            <w:hideMark/>
          </w:tcPr>
          <w:p w14:paraId="0B2811D8" w14:textId="77777777" w:rsidR="00E826A9" w:rsidRPr="00095192" w:rsidRDefault="00E826A9" w:rsidP="0038054E">
            <w:pPr>
              <w:autoSpaceDE w:val="0"/>
              <w:autoSpaceDN w:val="0"/>
              <w:adjustRightInd w:val="0"/>
              <w:snapToGrid w:val="0"/>
              <w:spacing w:after="0" w:line="240" w:lineRule="auto"/>
              <w:rPr>
                <w:rFonts w:ascii="Palatino Linotype" w:hAnsi="Palatino Linotype" w:cs="Times New Roman"/>
                <w:color w:val="000000"/>
                <w:sz w:val="18"/>
                <w:szCs w:val="20"/>
                <w:lang w:val="en-US"/>
              </w:rPr>
            </w:pPr>
            <w:r w:rsidRPr="00095192">
              <w:rPr>
                <w:rFonts w:ascii="Palatino Linotype" w:hAnsi="Palatino Linotype" w:cs="Times New Roman"/>
                <w:color w:val="000000"/>
                <w:sz w:val="18"/>
                <w:szCs w:val="20"/>
                <w:lang w:val="en-US"/>
              </w:rPr>
              <w:t>1.3(0.</w:t>
            </w:r>
            <w:proofErr w:type="gramStart"/>
            <w:r w:rsidRPr="00095192">
              <w:rPr>
                <w:rFonts w:ascii="Palatino Linotype" w:hAnsi="Palatino Linotype" w:cs="Times New Roman"/>
                <w:color w:val="000000"/>
                <w:sz w:val="18"/>
                <w:szCs w:val="20"/>
                <w:lang w:val="en-US"/>
              </w:rPr>
              <w:t>4)‡</w:t>
            </w:r>
            <w:proofErr w:type="gramEnd"/>
          </w:p>
        </w:tc>
        <w:tc>
          <w:tcPr>
            <w:tcW w:w="0" w:type="auto"/>
            <w:tcBorders>
              <w:top w:val="dotted" w:sz="4" w:space="0" w:color="000000" w:themeColor="text1"/>
              <w:left w:val="nil"/>
              <w:bottom w:val="dotted" w:sz="4" w:space="0" w:color="000000" w:themeColor="text1"/>
              <w:right w:val="nil"/>
            </w:tcBorders>
            <w:shd w:val="clear" w:color="auto" w:fill="auto"/>
            <w:hideMark/>
          </w:tcPr>
          <w:p w14:paraId="1B41483E" w14:textId="77777777" w:rsidR="00E826A9" w:rsidRPr="00095192" w:rsidRDefault="00E826A9" w:rsidP="0038054E">
            <w:pPr>
              <w:autoSpaceDE w:val="0"/>
              <w:autoSpaceDN w:val="0"/>
              <w:adjustRightInd w:val="0"/>
              <w:snapToGrid w:val="0"/>
              <w:spacing w:after="0" w:line="240" w:lineRule="auto"/>
              <w:rPr>
                <w:rFonts w:ascii="Palatino Linotype" w:hAnsi="Palatino Linotype" w:cs="Times New Roman"/>
                <w:color w:val="000000"/>
                <w:sz w:val="18"/>
                <w:szCs w:val="20"/>
                <w:lang w:val="en-US"/>
              </w:rPr>
            </w:pPr>
            <w:r w:rsidRPr="00095192">
              <w:rPr>
                <w:rFonts w:ascii="Palatino Linotype" w:hAnsi="Palatino Linotype" w:cs="Times New Roman"/>
                <w:color w:val="000000"/>
                <w:sz w:val="18"/>
                <w:szCs w:val="20"/>
                <w:lang w:val="en-US"/>
              </w:rPr>
              <w:t>1.0(0.</w:t>
            </w:r>
            <w:proofErr w:type="gramStart"/>
            <w:r w:rsidRPr="00095192">
              <w:rPr>
                <w:rFonts w:ascii="Palatino Linotype" w:hAnsi="Palatino Linotype" w:cs="Times New Roman"/>
                <w:color w:val="000000"/>
                <w:sz w:val="18"/>
                <w:szCs w:val="20"/>
                <w:lang w:val="en-US"/>
              </w:rPr>
              <w:t>4)‡</w:t>
            </w:r>
            <w:proofErr w:type="gramEnd"/>
          </w:p>
        </w:tc>
      </w:tr>
      <w:tr w:rsidR="00E826A9" w:rsidRPr="00095192" w14:paraId="79FE9C6D" w14:textId="77777777" w:rsidTr="0038054E">
        <w:trPr>
          <w:jc w:val="center"/>
        </w:trPr>
        <w:tc>
          <w:tcPr>
            <w:tcW w:w="0" w:type="auto"/>
            <w:tcBorders>
              <w:top w:val="dotted" w:sz="4" w:space="0" w:color="000000" w:themeColor="text1"/>
              <w:left w:val="nil"/>
              <w:bottom w:val="dotted" w:sz="4" w:space="0" w:color="000000" w:themeColor="text1"/>
              <w:right w:val="nil"/>
            </w:tcBorders>
            <w:shd w:val="clear" w:color="auto" w:fill="auto"/>
          </w:tcPr>
          <w:p w14:paraId="05A309A6" w14:textId="77777777" w:rsidR="00E826A9" w:rsidRPr="00095192" w:rsidRDefault="00E826A9" w:rsidP="0038054E">
            <w:pPr>
              <w:autoSpaceDE w:val="0"/>
              <w:autoSpaceDN w:val="0"/>
              <w:adjustRightInd w:val="0"/>
              <w:snapToGrid w:val="0"/>
              <w:spacing w:after="0" w:line="240" w:lineRule="auto"/>
              <w:rPr>
                <w:rFonts w:ascii="Palatino Linotype" w:hAnsi="Palatino Linotype" w:cs="Times New Roman"/>
                <w:color w:val="000000"/>
                <w:sz w:val="18"/>
                <w:szCs w:val="20"/>
                <w:lang w:val="en-US"/>
              </w:rPr>
            </w:pPr>
            <w:r w:rsidRPr="00095192">
              <w:rPr>
                <w:rFonts w:ascii="Palatino Linotype" w:hAnsi="Palatino Linotype" w:cs="Times New Roman"/>
                <w:color w:val="000000"/>
                <w:sz w:val="18"/>
                <w:szCs w:val="20"/>
                <w:lang w:val="en-US"/>
              </w:rPr>
              <w:t xml:space="preserve">     T2w-SI (no unit)</w:t>
            </w:r>
          </w:p>
        </w:tc>
        <w:tc>
          <w:tcPr>
            <w:tcW w:w="0" w:type="auto"/>
            <w:tcBorders>
              <w:top w:val="dotted" w:sz="4" w:space="0" w:color="000000" w:themeColor="text1"/>
              <w:left w:val="nil"/>
              <w:bottom w:val="dotted" w:sz="4" w:space="0" w:color="000000" w:themeColor="text1"/>
              <w:right w:val="nil"/>
            </w:tcBorders>
            <w:shd w:val="clear" w:color="auto" w:fill="auto"/>
          </w:tcPr>
          <w:p w14:paraId="5AB5EAA6" w14:textId="77777777" w:rsidR="00E826A9" w:rsidRPr="00095192" w:rsidRDefault="00E826A9" w:rsidP="0038054E">
            <w:pPr>
              <w:autoSpaceDE w:val="0"/>
              <w:autoSpaceDN w:val="0"/>
              <w:adjustRightInd w:val="0"/>
              <w:snapToGrid w:val="0"/>
              <w:spacing w:after="0" w:line="240" w:lineRule="auto"/>
              <w:rPr>
                <w:rFonts w:ascii="Palatino Linotype" w:hAnsi="Palatino Linotype" w:cs="Times New Roman"/>
                <w:color w:val="000000"/>
                <w:sz w:val="18"/>
                <w:szCs w:val="20"/>
                <w:lang w:val="en-US"/>
              </w:rPr>
            </w:pPr>
            <w:r w:rsidRPr="00095192">
              <w:rPr>
                <w:rFonts w:ascii="Palatino Linotype" w:hAnsi="Palatino Linotype" w:cs="Times New Roman"/>
                <w:sz w:val="18"/>
                <w:szCs w:val="20"/>
                <w:lang w:val="en-US"/>
              </w:rPr>
              <w:t>3.7(0.7)</w:t>
            </w:r>
          </w:p>
        </w:tc>
        <w:tc>
          <w:tcPr>
            <w:tcW w:w="0" w:type="auto"/>
            <w:tcBorders>
              <w:top w:val="dotted" w:sz="4" w:space="0" w:color="000000" w:themeColor="text1"/>
              <w:left w:val="nil"/>
              <w:bottom w:val="dotted" w:sz="4" w:space="0" w:color="000000" w:themeColor="text1"/>
              <w:right w:val="nil"/>
            </w:tcBorders>
            <w:shd w:val="clear" w:color="auto" w:fill="auto"/>
          </w:tcPr>
          <w:p w14:paraId="0FF7D37D" w14:textId="77777777" w:rsidR="00E826A9" w:rsidRPr="00095192" w:rsidRDefault="00E826A9" w:rsidP="0038054E">
            <w:pPr>
              <w:autoSpaceDE w:val="0"/>
              <w:autoSpaceDN w:val="0"/>
              <w:adjustRightInd w:val="0"/>
              <w:snapToGrid w:val="0"/>
              <w:spacing w:after="0" w:line="240" w:lineRule="auto"/>
              <w:rPr>
                <w:rFonts w:ascii="Palatino Linotype" w:hAnsi="Palatino Linotype" w:cs="Times New Roman"/>
                <w:color w:val="000000"/>
                <w:sz w:val="18"/>
                <w:szCs w:val="20"/>
                <w:lang w:val="en-US"/>
              </w:rPr>
            </w:pPr>
            <w:r w:rsidRPr="00095192">
              <w:rPr>
                <w:rFonts w:ascii="Palatino Linotype" w:hAnsi="Palatino Linotype" w:cs="Times New Roman"/>
                <w:sz w:val="18"/>
                <w:szCs w:val="20"/>
                <w:lang w:val="en-US"/>
              </w:rPr>
              <w:t>3.5(2.3)</w:t>
            </w:r>
          </w:p>
        </w:tc>
        <w:tc>
          <w:tcPr>
            <w:tcW w:w="0" w:type="auto"/>
            <w:tcBorders>
              <w:top w:val="dotted" w:sz="4" w:space="0" w:color="000000" w:themeColor="text1"/>
              <w:left w:val="nil"/>
              <w:bottom w:val="dotted" w:sz="4" w:space="0" w:color="000000" w:themeColor="text1"/>
              <w:right w:val="nil"/>
            </w:tcBorders>
            <w:shd w:val="clear" w:color="auto" w:fill="auto"/>
          </w:tcPr>
          <w:p w14:paraId="317910DE" w14:textId="77777777" w:rsidR="00E826A9" w:rsidRPr="00095192" w:rsidRDefault="00E826A9" w:rsidP="0038054E">
            <w:pPr>
              <w:autoSpaceDE w:val="0"/>
              <w:autoSpaceDN w:val="0"/>
              <w:adjustRightInd w:val="0"/>
              <w:snapToGrid w:val="0"/>
              <w:spacing w:after="0" w:line="240" w:lineRule="auto"/>
              <w:rPr>
                <w:rFonts w:ascii="Palatino Linotype" w:hAnsi="Palatino Linotype" w:cs="Times New Roman"/>
                <w:color w:val="000000"/>
                <w:sz w:val="18"/>
                <w:szCs w:val="20"/>
                <w:lang w:val="en-US"/>
              </w:rPr>
            </w:pPr>
            <w:r w:rsidRPr="00095192">
              <w:rPr>
                <w:rFonts w:ascii="Palatino Linotype" w:hAnsi="Palatino Linotype" w:cs="Times New Roman"/>
                <w:sz w:val="18"/>
                <w:szCs w:val="20"/>
                <w:lang w:val="en-US"/>
              </w:rPr>
              <w:t>2.7(1.</w:t>
            </w:r>
            <w:proofErr w:type="gramStart"/>
            <w:r w:rsidRPr="00095192">
              <w:rPr>
                <w:rFonts w:ascii="Palatino Linotype" w:hAnsi="Palatino Linotype" w:cs="Times New Roman"/>
                <w:sz w:val="18"/>
                <w:szCs w:val="20"/>
                <w:lang w:val="en-US"/>
              </w:rPr>
              <w:t>1)‡</w:t>
            </w:r>
            <w:proofErr w:type="gramEnd"/>
          </w:p>
        </w:tc>
        <w:tc>
          <w:tcPr>
            <w:tcW w:w="0" w:type="auto"/>
            <w:tcBorders>
              <w:top w:val="dotted" w:sz="4" w:space="0" w:color="000000" w:themeColor="text1"/>
              <w:left w:val="nil"/>
              <w:bottom w:val="dotted" w:sz="4" w:space="0" w:color="000000" w:themeColor="text1"/>
              <w:right w:val="nil"/>
            </w:tcBorders>
            <w:shd w:val="clear" w:color="auto" w:fill="auto"/>
          </w:tcPr>
          <w:p w14:paraId="0C88DFCE" w14:textId="77777777" w:rsidR="00E826A9" w:rsidRPr="00095192" w:rsidRDefault="00E826A9" w:rsidP="0038054E">
            <w:pPr>
              <w:autoSpaceDE w:val="0"/>
              <w:autoSpaceDN w:val="0"/>
              <w:adjustRightInd w:val="0"/>
              <w:snapToGrid w:val="0"/>
              <w:spacing w:after="0" w:line="240" w:lineRule="auto"/>
              <w:rPr>
                <w:rFonts w:ascii="Palatino Linotype" w:hAnsi="Palatino Linotype" w:cs="Times New Roman"/>
                <w:color w:val="000000"/>
                <w:sz w:val="18"/>
                <w:szCs w:val="20"/>
                <w:lang w:val="en-US"/>
              </w:rPr>
            </w:pPr>
            <w:r w:rsidRPr="00095192">
              <w:rPr>
                <w:rFonts w:ascii="Palatino Linotype" w:hAnsi="Palatino Linotype" w:cs="Times New Roman"/>
                <w:sz w:val="18"/>
                <w:szCs w:val="20"/>
                <w:lang w:val="en-US"/>
              </w:rPr>
              <w:t>2.0(1.</w:t>
            </w:r>
            <w:proofErr w:type="gramStart"/>
            <w:r w:rsidRPr="00095192">
              <w:rPr>
                <w:rFonts w:ascii="Palatino Linotype" w:hAnsi="Palatino Linotype" w:cs="Times New Roman"/>
                <w:sz w:val="18"/>
                <w:szCs w:val="20"/>
                <w:lang w:val="en-US"/>
              </w:rPr>
              <w:t>0)‡</w:t>
            </w:r>
            <w:proofErr w:type="gramEnd"/>
          </w:p>
        </w:tc>
      </w:tr>
      <w:tr w:rsidR="00E826A9" w:rsidRPr="00095192" w14:paraId="74E4C319" w14:textId="77777777" w:rsidTr="0038054E">
        <w:trPr>
          <w:jc w:val="center"/>
        </w:trPr>
        <w:tc>
          <w:tcPr>
            <w:tcW w:w="0" w:type="auto"/>
            <w:tcBorders>
              <w:top w:val="dotted" w:sz="4" w:space="0" w:color="000000" w:themeColor="text1"/>
              <w:left w:val="nil"/>
              <w:bottom w:val="single" w:sz="8" w:space="0" w:color="auto"/>
              <w:right w:val="nil"/>
            </w:tcBorders>
            <w:shd w:val="clear" w:color="auto" w:fill="auto"/>
          </w:tcPr>
          <w:p w14:paraId="37C40373" w14:textId="77777777" w:rsidR="00E826A9" w:rsidRPr="00095192" w:rsidRDefault="00E826A9" w:rsidP="0038054E">
            <w:pPr>
              <w:autoSpaceDE w:val="0"/>
              <w:autoSpaceDN w:val="0"/>
              <w:adjustRightInd w:val="0"/>
              <w:snapToGrid w:val="0"/>
              <w:spacing w:after="0" w:line="240" w:lineRule="auto"/>
              <w:rPr>
                <w:rFonts w:ascii="Palatino Linotype" w:hAnsi="Palatino Linotype" w:cs="Times New Roman"/>
                <w:color w:val="000000"/>
                <w:sz w:val="18"/>
                <w:szCs w:val="20"/>
                <w:lang w:val="en-US"/>
              </w:rPr>
            </w:pPr>
            <w:r w:rsidRPr="00095192">
              <w:rPr>
                <w:rFonts w:ascii="Palatino Linotype" w:hAnsi="Palatino Linotype" w:cs="Times New Roman"/>
                <w:color w:val="000000"/>
                <w:sz w:val="18"/>
                <w:szCs w:val="20"/>
                <w:lang w:val="en-US"/>
              </w:rPr>
              <w:t xml:space="preserve">     Dixon (%)</w:t>
            </w:r>
          </w:p>
        </w:tc>
        <w:tc>
          <w:tcPr>
            <w:tcW w:w="0" w:type="auto"/>
            <w:tcBorders>
              <w:top w:val="dotted" w:sz="4" w:space="0" w:color="000000" w:themeColor="text1"/>
              <w:left w:val="nil"/>
              <w:bottom w:val="single" w:sz="8" w:space="0" w:color="auto"/>
              <w:right w:val="nil"/>
            </w:tcBorders>
            <w:shd w:val="clear" w:color="auto" w:fill="auto"/>
          </w:tcPr>
          <w:p w14:paraId="75C5245F" w14:textId="77777777" w:rsidR="00E826A9" w:rsidRPr="00095192" w:rsidRDefault="00E826A9" w:rsidP="0038054E">
            <w:pPr>
              <w:autoSpaceDE w:val="0"/>
              <w:autoSpaceDN w:val="0"/>
              <w:adjustRightInd w:val="0"/>
              <w:snapToGrid w:val="0"/>
              <w:spacing w:after="0" w:line="240" w:lineRule="auto"/>
              <w:rPr>
                <w:rFonts w:ascii="Palatino Linotype" w:hAnsi="Palatino Linotype" w:cs="Times New Roman"/>
                <w:color w:val="000000"/>
                <w:sz w:val="18"/>
                <w:szCs w:val="20"/>
                <w:lang w:val="en-US"/>
              </w:rPr>
            </w:pPr>
            <w:r w:rsidRPr="00095192">
              <w:rPr>
                <w:rFonts w:ascii="Palatino Linotype" w:hAnsi="Palatino Linotype" w:cs="Times New Roman"/>
                <w:color w:val="000000"/>
                <w:sz w:val="18"/>
                <w:szCs w:val="20"/>
                <w:lang w:val="en-US"/>
              </w:rPr>
              <w:t>1.00(0.03)</w:t>
            </w:r>
          </w:p>
        </w:tc>
        <w:tc>
          <w:tcPr>
            <w:tcW w:w="0" w:type="auto"/>
            <w:tcBorders>
              <w:top w:val="dotted" w:sz="4" w:space="0" w:color="000000" w:themeColor="text1"/>
              <w:left w:val="nil"/>
              <w:bottom w:val="single" w:sz="8" w:space="0" w:color="auto"/>
              <w:right w:val="nil"/>
            </w:tcBorders>
            <w:shd w:val="clear" w:color="auto" w:fill="auto"/>
          </w:tcPr>
          <w:p w14:paraId="2711494C" w14:textId="77777777" w:rsidR="00E826A9" w:rsidRPr="00095192" w:rsidRDefault="00E826A9" w:rsidP="0038054E">
            <w:pPr>
              <w:autoSpaceDE w:val="0"/>
              <w:autoSpaceDN w:val="0"/>
              <w:adjustRightInd w:val="0"/>
              <w:snapToGrid w:val="0"/>
              <w:spacing w:after="0" w:line="240" w:lineRule="auto"/>
              <w:rPr>
                <w:rFonts w:ascii="Palatino Linotype" w:hAnsi="Palatino Linotype" w:cs="Times New Roman"/>
                <w:color w:val="000000"/>
                <w:sz w:val="18"/>
                <w:szCs w:val="20"/>
                <w:lang w:val="en-US"/>
              </w:rPr>
            </w:pPr>
            <w:r w:rsidRPr="00095192">
              <w:rPr>
                <w:rFonts w:ascii="Palatino Linotype" w:hAnsi="Palatino Linotype" w:cs="Times New Roman"/>
                <w:color w:val="000000"/>
                <w:sz w:val="18"/>
                <w:szCs w:val="20"/>
                <w:lang w:val="en-US"/>
              </w:rPr>
              <w:t>1.01(0.10)</w:t>
            </w:r>
          </w:p>
        </w:tc>
        <w:tc>
          <w:tcPr>
            <w:tcW w:w="0" w:type="auto"/>
            <w:tcBorders>
              <w:top w:val="dotted" w:sz="4" w:space="0" w:color="000000" w:themeColor="text1"/>
              <w:left w:val="nil"/>
              <w:bottom w:val="single" w:sz="8" w:space="0" w:color="auto"/>
              <w:right w:val="nil"/>
            </w:tcBorders>
            <w:shd w:val="clear" w:color="auto" w:fill="auto"/>
          </w:tcPr>
          <w:p w14:paraId="5D35BAF4" w14:textId="77777777" w:rsidR="00E826A9" w:rsidRPr="00095192" w:rsidRDefault="00E826A9" w:rsidP="0038054E">
            <w:pPr>
              <w:autoSpaceDE w:val="0"/>
              <w:autoSpaceDN w:val="0"/>
              <w:adjustRightInd w:val="0"/>
              <w:snapToGrid w:val="0"/>
              <w:spacing w:after="0" w:line="240" w:lineRule="auto"/>
              <w:rPr>
                <w:rFonts w:ascii="Palatino Linotype" w:hAnsi="Palatino Linotype" w:cs="Times New Roman"/>
                <w:color w:val="000000"/>
                <w:sz w:val="18"/>
                <w:szCs w:val="20"/>
                <w:lang w:val="en-US"/>
              </w:rPr>
            </w:pPr>
            <w:r w:rsidRPr="00095192">
              <w:rPr>
                <w:rFonts w:ascii="Palatino Linotype" w:hAnsi="Palatino Linotype" w:cs="Times New Roman"/>
                <w:color w:val="000000"/>
                <w:sz w:val="18"/>
                <w:szCs w:val="20"/>
                <w:lang w:val="en-US"/>
              </w:rPr>
              <w:t>1.00(0.05)</w:t>
            </w:r>
          </w:p>
        </w:tc>
        <w:tc>
          <w:tcPr>
            <w:tcW w:w="0" w:type="auto"/>
            <w:tcBorders>
              <w:top w:val="dotted" w:sz="4" w:space="0" w:color="000000" w:themeColor="text1"/>
              <w:left w:val="nil"/>
              <w:bottom w:val="single" w:sz="8" w:space="0" w:color="auto"/>
              <w:right w:val="nil"/>
            </w:tcBorders>
            <w:shd w:val="clear" w:color="auto" w:fill="auto"/>
          </w:tcPr>
          <w:p w14:paraId="71521461" w14:textId="77777777" w:rsidR="00E826A9" w:rsidRPr="00095192" w:rsidRDefault="00E826A9" w:rsidP="0038054E">
            <w:pPr>
              <w:autoSpaceDE w:val="0"/>
              <w:autoSpaceDN w:val="0"/>
              <w:adjustRightInd w:val="0"/>
              <w:snapToGrid w:val="0"/>
              <w:spacing w:after="0" w:line="240" w:lineRule="auto"/>
              <w:rPr>
                <w:rFonts w:ascii="Palatino Linotype" w:hAnsi="Palatino Linotype" w:cs="Times New Roman"/>
                <w:color w:val="000000"/>
                <w:sz w:val="18"/>
                <w:szCs w:val="20"/>
                <w:lang w:val="en-US"/>
              </w:rPr>
            </w:pPr>
            <w:r w:rsidRPr="00095192">
              <w:rPr>
                <w:rFonts w:ascii="Palatino Linotype" w:hAnsi="Palatino Linotype" w:cs="Times New Roman"/>
                <w:color w:val="000000"/>
                <w:sz w:val="18"/>
                <w:szCs w:val="20"/>
                <w:lang w:val="en-US"/>
              </w:rPr>
              <w:t>0.99(0.04)</w:t>
            </w:r>
          </w:p>
        </w:tc>
      </w:tr>
    </w:tbl>
    <w:p w14:paraId="071D8BA6" w14:textId="77777777" w:rsidR="00E826A9" w:rsidRDefault="00E826A9" w:rsidP="00E826A9">
      <w:pPr>
        <w:pStyle w:val="MDPI43tablefooter"/>
        <w:ind w:left="425" w:right="425"/>
      </w:pPr>
      <w:r w:rsidRPr="00095192">
        <w:t>Values are mean (SD). *: p &lt;0.05; †: p &lt;0.01; ‡: p &lt;0.001 and indicate significance of difference in mean to the Pfirrmann grade 1 category. Data from all IVDs T12/L1 to L5/S1 (606 discs from 101 subjects) presented. IVD: intervertebral disc; T2: relaxation time; T2w-SI: T2-weighted signal intensity.</w:t>
      </w:r>
    </w:p>
    <w:p w14:paraId="138312A2" w14:textId="77777777" w:rsidR="00E826A9" w:rsidRDefault="00E826A9" w:rsidP="00E826A9">
      <w:pPr>
        <w:pStyle w:val="MDPI31text"/>
      </w:pPr>
    </w:p>
    <w:p w14:paraId="266E9497" w14:textId="224ED7E1" w:rsidR="00E826A9" w:rsidRDefault="00A63724" w:rsidP="00E826A9">
      <w:pPr>
        <w:pStyle w:val="MDPI51figurecaption"/>
      </w:pPr>
      <w:r w:rsidRPr="00A63724">
        <w:drawing>
          <wp:inline distT="0" distB="0" distL="0" distR="0" wp14:anchorId="1A74AD35" wp14:editId="0AD93964">
            <wp:extent cx="4611600" cy="5630400"/>
            <wp:effectExtent l="0" t="0" r="0" b="889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611600" cy="5630400"/>
                    </a:xfrm>
                    <a:prstGeom prst="rect">
                      <a:avLst/>
                    </a:prstGeom>
                    <a:noFill/>
                    <a:ln>
                      <a:noFill/>
                    </a:ln>
                  </pic:spPr>
                </pic:pic>
              </a:graphicData>
            </a:graphic>
          </wp:inline>
        </w:drawing>
      </w:r>
    </w:p>
    <w:p w14:paraId="7B47201F" w14:textId="0BFF7BA3" w:rsidR="00E826A9" w:rsidRDefault="00E826A9" w:rsidP="00E826A9">
      <w:pPr>
        <w:pStyle w:val="MDPI51figurecaption"/>
      </w:pPr>
      <w:r w:rsidRPr="00897CDC">
        <w:t xml:space="preserve">Figure </w:t>
      </w:r>
      <w:r w:rsidR="000A003B">
        <w:t>4</w:t>
      </w:r>
      <w:r w:rsidRPr="00897CDC">
        <w:t xml:space="preserve">. </w:t>
      </w:r>
      <w:r>
        <w:t xml:space="preserve">Differences of each MRI techniques in quantifying the intervertebral disc. Data are relative differences in Pfirrmann grade 2, 3 and 4 compared to grade 1. See Table 2 for statistical comparisons. </w:t>
      </w:r>
    </w:p>
    <w:p w14:paraId="15F16889" w14:textId="77777777" w:rsidR="00E826A9" w:rsidRPr="00095192" w:rsidRDefault="00E826A9" w:rsidP="00E826A9">
      <w:pPr>
        <w:pStyle w:val="MDPI51figurecaption"/>
        <w:ind w:left="0"/>
      </w:pPr>
    </w:p>
    <w:p w14:paraId="12145106" w14:textId="77777777" w:rsidR="00156BCB" w:rsidRPr="00095192" w:rsidRDefault="00156BCB" w:rsidP="00095192">
      <w:pPr>
        <w:pStyle w:val="MDPI22heading2"/>
      </w:pPr>
      <w:r w:rsidRPr="00095192">
        <w:t>The Dixon imaging technique</w:t>
      </w:r>
    </w:p>
    <w:p w14:paraId="3075139F" w14:textId="2687FA72" w:rsidR="00156BCB" w:rsidRPr="00095192" w:rsidRDefault="00156BCB" w:rsidP="00095192">
      <w:pPr>
        <w:pStyle w:val="MDPI31text"/>
      </w:pPr>
      <w:r w:rsidRPr="00095192">
        <w:t xml:space="preserve">In comparison with the </w:t>
      </w:r>
      <w:r w:rsidRPr="00095192">
        <w:rPr>
          <w:lang w:eastAsia="en-AU"/>
        </w:rPr>
        <w:t>sedentary</w:t>
      </w:r>
      <w:r w:rsidRPr="00095192">
        <w:t xml:space="preserve"> group, higher water content by Dixon of the IVD was detected in the long-distance runners, but not in groups with other training histories (Table 1</w:t>
      </w:r>
      <w:r w:rsidR="00DF4780">
        <w:t>; Figure 2</w:t>
      </w:r>
      <w:r w:rsidRPr="00095192">
        <w:t xml:space="preserve">). The Dixon imaging technique displayed small and non-significant differences in the water content over the IVD and between nucleus and annulus (Figure </w:t>
      </w:r>
      <w:r w:rsidR="00DF4780">
        <w:t>3</w:t>
      </w:r>
      <w:r w:rsidRPr="00095192">
        <w:t>). The nucleus/annulus ratio was close to 1 (Table 2). The water content was also shown to be insensitive to general degeneration changes; whole IVD and the nucleus water content only detected differences between Pfirrmann grades 4 and 1 (Table 2</w:t>
      </w:r>
      <w:r w:rsidR="00E826A9">
        <w:t>; Figure 4</w:t>
      </w:r>
      <w:r w:rsidRPr="00095192">
        <w:t xml:space="preserve">). </w:t>
      </w:r>
    </w:p>
    <w:p w14:paraId="167E7655" w14:textId="77777777" w:rsidR="00156BCB" w:rsidRPr="00095192" w:rsidRDefault="00156BCB" w:rsidP="00095192">
      <w:pPr>
        <w:pStyle w:val="MDPI22heading2"/>
      </w:pPr>
      <w:r w:rsidRPr="00095192">
        <w:t>Correlation analyses</w:t>
      </w:r>
    </w:p>
    <w:p w14:paraId="0C8E5DDE" w14:textId="087A9C27" w:rsidR="00156BCB" w:rsidRDefault="00156BCB" w:rsidP="00095192">
      <w:pPr>
        <w:pStyle w:val="MDPI31text"/>
      </w:pPr>
      <w:r w:rsidRPr="00095192">
        <w:t xml:space="preserve">There was a strong correlation between T2-mapping and T2w imaging regarding whole IVD and a moderate correlation (r=0.66, p&lt;0.001) regarding nucleus/annulus ratio. For Dixon imaging, the whole IVD and the nucleus correlated only weakly (r all&lt;0.29) with the T2-time and the T2w signal (Table 3). </w:t>
      </w:r>
    </w:p>
    <w:p w14:paraId="62C54820" w14:textId="77777777" w:rsidR="00E826A9" w:rsidRPr="00095192" w:rsidRDefault="00E826A9" w:rsidP="00095192">
      <w:pPr>
        <w:pStyle w:val="MDPI31text"/>
      </w:pPr>
    </w:p>
    <w:p w14:paraId="5D915186" w14:textId="77777777" w:rsidR="00A755CE" w:rsidRDefault="00095192" w:rsidP="00A755CE">
      <w:pPr>
        <w:pStyle w:val="MDPI41tablecaption"/>
      </w:pPr>
      <w:r w:rsidRPr="00095192">
        <w:rPr>
          <w:b/>
          <w:bCs/>
        </w:rPr>
        <w:t xml:space="preserve">Table 3. </w:t>
      </w:r>
      <w:r w:rsidR="00156BCB" w:rsidRPr="00095192">
        <w:t>Quantification of the IVD by T2-mapping correlated moderately with T2w-SI and weakly with Dixon.</w:t>
      </w:r>
    </w:p>
    <w:tbl>
      <w:tblPr>
        <w:tblStyle w:val="Thesis"/>
        <w:tblW w:w="4925" w:type="pct"/>
        <w:tblLayout w:type="fixed"/>
        <w:tblLook w:val="04A0" w:firstRow="1" w:lastRow="0" w:firstColumn="1" w:lastColumn="0" w:noHBand="0" w:noVBand="1"/>
      </w:tblPr>
      <w:tblGrid>
        <w:gridCol w:w="1133"/>
        <w:gridCol w:w="1135"/>
        <w:gridCol w:w="14"/>
        <w:gridCol w:w="835"/>
        <w:gridCol w:w="706"/>
        <w:gridCol w:w="563"/>
        <w:gridCol w:w="14"/>
        <w:gridCol w:w="824"/>
        <w:gridCol w:w="669"/>
        <w:gridCol w:w="669"/>
        <w:gridCol w:w="16"/>
        <w:gridCol w:w="798"/>
        <w:gridCol w:w="671"/>
        <w:gridCol w:w="617"/>
        <w:gridCol w:w="35"/>
        <w:gridCol w:w="12"/>
      </w:tblGrid>
      <w:tr w:rsidR="00AB2CEE" w14:paraId="443F7A99" w14:textId="77777777" w:rsidTr="00AB2CEE">
        <w:trPr>
          <w:cnfStyle w:val="100000000000" w:firstRow="1" w:lastRow="0" w:firstColumn="0" w:lastColumn="0" w:oddVBand="0" w:evenVBand="0" w:oddHBand="0" w:evenHBand="0" w:firstRowFirstColumn="0" w:firstRowLastColumn="0" w:lastRowFirstColumn="0" w:lastRowLastColumn="0"/>
          <w:trHeight w:val="27"/>
        </w:trPr>
        <w:tc>
          <w:tcPr>
            <w:tcW w:w="1311" w:type="pct"/>
            <w:gridSpan w:val="3"/>
            <w:tcBorders>
              <w:bottom w:val="nil"/>
              <w:right w:val="single" w:sz="4" w:space="0" w:color="auto"/>
            </w:tcBorders>
            <w:noWrap/>
          </w:tcPr>
          <w:p w14:paraId="169C811C" w14:textId="77777777" w:rsidR="00A755CE" w:rsidRPr="004E53C4" w:rsidRDefault="00A755CE" w:rsidP="00454C01">
            <w:pPr>
              <w:spacing w:after="0" w:line="360" w:lineRule="auto"/>
              <w:jc w:val="left"/>
              <w:rPr>
                <w:rFonts w:eastAsia="Times New Roman" w:cs="Times New Roman"/>
                <w:b w:val="0"/>
                <w:bCs/>
                <w:color w:val="000000"/>
                <w:sz w:val="20"/>
                <w:szCs w:val="20"/>
                <w:lang w:val="en-AU" w:eastAsia="en-AU"/>
              </w:rPr>
            </w:pPr>
          </w:p>
        </w:tc>
        <w:tc>
          <w:tcPr>
            <w:tcW w:w="1215" w:type="pct"/>
            <w:gridSpan w:val="4"/>
            <w:tcBorders>
              <w:left w:val="single" w:sz="4" w:space="0" w:color="auto"/>
              <w:bottom w:val="single" w:sz="4" w:space="0" w:color="auto"/>
              <w:right w:val="single" w:sz="4" w:space="0" w:color="auto"/>
            </w:tcBorders>
            <w:hideMark/>
          </w:tcPr>
          <w:p w14:paraId="0D11BD55" w14:textId="77777777" w:rsidR="00A755CE" w:rsidRPr="005636C0" w:rsidRDefault="00A755CE" w:rsidP="00454C01">
            <w:pPr>
              <w:spacing w:after="0" w:line="360" w:lineRule="auto"/>
              <w:rPr>
                <w:rFonts w:eastAsia="Times New Roman" w:cs="Times New Roman"/>
                <w:bCs/>
                <w:color w:val="000000"/>
                <w:sz w:val="16"/>
                <w:szCs w:val="16"/>
                <w:lang w:eastAsia="en-AU"/>
              </w:rPr>
            </w:pPr>
            <w:r w:rsidRPr="005636C0">
              <w:rPr>
                <w:rFonts w:eastAsia="Times New Roman" w:cs="Times New Roman"/>
                <w:bCs/>
                <w:color w:val="000000"/>
                <w:sz w:val="16"/>
                <w:szCs w:val="16"/>
                <w:lang w:eastAsia="en-AU"/>
              </w:rPr>
              <w:t>Whole IVD</w:t>
            </w:r>
          </w:p>
        </w:tc>
        <w:tc>
          <w:tcPr>
            <w:tcW w:w="1250" w:type="pct"/>
            <w:gridSpan w:val="4"/>
            <w:tcBorders>
              <w:left w:val="single" w:sz="4" w:space="0" w:color="auto"/>
              <w:bottom w:val="single" w:sz="4" w:space="0" w:color="auto"/>
              <w:right w:val="single" w:sz="4" w:space="0" w:color="auto"/>
            </w:tcBorders>
            <w:hideMark/>
          </w:tcPr>
          <w:p w14:paraId="7C991528" w14:textId="77777777" w:rsidR="00A755CE" w:rsidRPr="005636C0" w:rsidRDefault="00A755CE" w:rsidP="00454C01">
            <w:pPr>
              <w:spacing w:after="0" w:line="360" w:lineRule="auto"/>
              <w:rPr>
                <w:rFonts w:eastAsia="Times New Roman" w:cs="Times New Roman"/>
                <w:bCs/>
                <w:color w:val="000000"/>
                <w:sz w:val="16"/>
                <w:szCs w:val="16"/>
                <w:lang w:eastAsia="en-AU"/>
              </w:rPr>
            </w:pPr>
            <w:r w:rsidRPr="005636C0">
              <w:rPr>
                <w:rFonts w:cs="Times New Roman"/>
                <w:bCs/>
                <w:color w:val="000000"/>
                <w:sz w:val="16"/>
                <w:szCs w:val="16"/>
              </w:rPr>
              <w:t>Nucleus</w:t>
            </w:r>
          </w:p>
        </w:tc>
        <w:tc>
          <w:tcPr>
            <w:tcW w:w="1224" w:type="pct"/>
            <w:gridSpan w:val="5"/>
            <w:tcBorders>
              <w:left w:val="single" w:sz="4" w:space="0" w:color="auto"/>
              <w:bottom w:val="single" w:sz="4" w:space="0" w:color="auto"/>
            </w:tcBorders>
            <w:hideMark/>
          </w:tcPr>
          <w:p w14:paraId="17CD90FA" w14:textId="77777777" w:rsidR="00A755CE" w:rsidRPr="005636C0" w:rsidRDefault="00A755CE" w:rsidP="00454C01">
            <w:pPr>
              <w:spacing w:after="0" w:line="360" w:lineRule="auto"/>
              <w:rPr>
                <w:rFonts w:eastAsia="Times New Roman" w:cs="Times New Roman"/>
                <w:bCs/>
                <w:color w:val="000000"/>
                <w:sz w:val="16"/>
                <w:szCs w:val="16"/>
                <w:lang w:eastAsia="en-AU"/>
              </w:rPr>
            </w:pPr>
            <w:r w:rsidRPr="005636C0">
              <w:rPr>
                <w:rFonts w:cs="Times New Roman"/>
                <w:bCs/>
                <w:color w:val="000000"/>
                <w:sz w:val="16"/>
                <w:szCs w:val="16"/>
              </w:rPr>
              <w:t>Nucleus/</w:t>
            </w:r>
            <w:proofErr w:type="spellStart"/>
            <w:r w:rsidRPr="005636C0">
              <w:rPr>
                <w:rFonts w:cs="Times New Roman"/>
                <w:bCs/>
                <w:color w:val="000000"/>
                <w:sz w:val="16"/>
                <w:szCs w:val="16"/>
              </w:rPr>
              <w:t>annulus</w:t>
            </w:r>
            <w:proofErr w:type="spellEnd"/>
            <w:r w:rsidRPr="005636C0">
              <w:rPr>
                <w:rFonts w:cs="Times New Roman"/>
                <w:bCs/>
                <w:color w:val="000000"/>
                <w:sz w:val="16"/>
                <w:szCs w:val="16"/>
              </w:rPr>
              <w:t xml:space="preserve"> </w:t>
            </w:r>
            <w:proofErr w:type="spellStart"/>
            <w:r w:rsidRPr="005636C0">
              <w:rPr>
                <w:rFonts w:cs="Times New Roman"/>
                <w:bCs/>
                <w:color w:val="000000"/>
                <w:sz w:val="16"/>
                <w:szCs w:val="16"/>
              </w:rPr>
              <w:t>ratio</w:t>
            </w:r>
            <w:proofErr w:type="spellEnd"/>
          </w:p>
        </w:tc>
      </w:tr>
      <w:tr w:rsidR="00AB2CEE" w:rsidRPr="004E53C4" w14:paraId="20896BF0" w14:textId="77777777" w:rsidTr="00AB2CEE">
        <w:trPr>
          <w:gridAfter w:val="1"/>
          <w:wAfter w:w="9" w:type="pct"/>
          <w:trHeight w:val="315"/>
        </w:trPr>
        <w:tc>
          <w:tcPr>
            <w:tcW w:w="651" w:type="pct"/>
            <w:noWrap/>
            <w:hideMark/>
          </w:tcPr>
          <w:p w14:paraId="524F06C3" w14:textId="77777777" w:rsidR="00A755CE" w:rsidRPr="004E53C4" w:rsidRDefault="00A755CE" w:rsidP="00454C01">
            <w:pPr>
              <w:jc w:val="left"/>
              <w:rPr>
                <w:rFonts w:eastAsia="Times New Roman" w:cs="Times New Roman"/>
                <w:bCs/>
                <w:color w:val="000000"/>
                <w:sz w:val="16"/>
                <w:szCs w:val="16"/>
                <w:lang w:eastAsia="en-AU"/>
              </w:rPr>
            </w:pPr>
          </w:p>
        </w:tc>
        <w:tc>
          <w:tcPr>
            <w:tcW w:w="652" w:type="pct"/>
            <w:tcBorders>
              <w:top w:val="nil"/>
              <w:left w:val="nil"/>
              <w:bottom w:val="single" w:sz="4" w:space="0" w:color="auto"/>
              <w:right w:val="single" w:sz="4" w:space="0" w:color="auto"/>
            </w:tcBorders>
            <w:noWrap/>
            <w:hideMark/>
          </w:tcPr>
          <w:p w14:paraId="3CC3561C" w14:textId="77777777" w:rsidR="00A755CE" w:rsidRPr="004E53C4" w:rsidRDefault="00A755CE" w:rsidP="00454C01">
            <w:pPr>
              <w:spacing w:after="0"/>
              <w:jc w:val="left"/>
              <w:rPr>
                <w:rFonts w:asciiTheme="minorHAnsi" w:hAnsiTheme="minorHAnsi"/>
                <w:sz w:val="16"/>
                <w:szCs w:val="16"/>
                <w:lang w:val="en-US"/>
              </w:rPr>
            </w:pPr>
          </w:p>
        </w:tc>
        <w:tc>
          <w:tcPr>
            <w:tcW w:w="487" w:type="pct"/>
            <w:gridSpan w:val="2"/>
            <w:tcBorders>
              <w:top w:val="single" w:sz="4" w:space="0" w:color="auto"/>
              <w:left w:val="single" w:sz="4" w:space="0" w:color="auto"/>
              <w:bottom w:val="single" w:sz="4" w:space="0" w:color="auto"/>
              <w:right w:val="nil"/>
            </w:tcBorders>
            <w:noWrap/>
            <w:hideMark/>
          </w:tcPr>
          <w:p w14:paraId="2CCB3FE6" w14:textId="77777777" w:rsidR="00A755CE" w:rsidRPr="004E53C4" w:rsidRDefault="00A755CE" w:rsidP="00454C01">
            <w:pPr>
              <w:spacing w:after="0" w:line="480" w:lineRule="auto"/>
              <w:rPr>
                <w:rFonts w:cs="Times New Roman"/>
                <w:bCs/>
                <w:color w:val="000000"/>
                <w:sz w:val="16"/>
                <w:szCs w:val="16"/>
                <w:lang w:val="en-AU"/>
              </w:rPr>
            </w:pPr>
            <w:r w:rsidRPr="004E53C4">
              <w:rPr>
                <w:rFonts w:cs="Times New Roman"/>
                <w:bCs/>
                <w:color w:val="000000"/>
                <w:sz w:val="16"/>
                <w:szCs w:val="16"/>
              </w:rPr>
              <w:t>T2-mapping</w:t>
            </w:r>
          </w:p>
        </w:tc>
        <w:tc>
          <w:tcPr>
            <w:tcW w:w="405" w:type="pct"/>
            <w:tcBorders>
              <w:top w:val="single" w:sz="4" w:space="0" w:color="auto"/>
              <w:left w:val="nil"/>
              <w:bottom w:val="single" w:sz="4" w:space="0" w:color="auto"/>
              <w:right w:val="nil"/>
            </w:tcBorders>
            <w:noWrap/>
            <w:hideMark/>
          </w:tcPr>
          <w:p w14:paraId="0C5F1839" w14:textId="77777777" w:rsidR="00A755CE" w:rsidRDefault="00A755CE" w:rsidP="00454C01">
            <w:pPr>
              <w:spacing w:after="0" w:line="480" w:lineRule="auto"/>
              <w:rPr>
                <w:rFonts w:cs="Times New Roman"/>
                <w:bCs/>
                <w:color w:val="000000"/>
                <w:sz w:val="16"/>
                <w:szCs w:val="16"/>
              </w:rPr>
            </w:pPr>
            <w:r w:rsidRPr="004E53C4">
              <w:rPr>
                <w:rFonts w:cs="Times New Roman"/>
                <w:bCs/>
                <w:color w:val="000000"/>
                <w:sz w:val="16"/>
                <w:szCs w:val="16"/>
              </w:rPr>
              <w:t>D</w:t>
            </w:r>
            <w:r>
              <w:rPr>
                <w:rFonts w:cs="Times New Roman"/>
                <w:bCs/>
                <w:color w:val="000000"/>
                <w:sz w:val="16"/>
                <w:szCs w:val="16"/>
              </w:rPr>
              <w:t>ixon</w:t>
            </w:r>
          </w:p>
          <w:p w14:paraId="373108FE" w14:textId="77777777" w:rsidR="00A755CE" w:rsidRPr="004E53C4" w:rsidRDefault="00A755CE" w:rsidP="00454C01">
            <w:pPr>
              <w:spacing w:after="0" w:line="480" w:lineRule="auto"/>
              <w:rPr>
                <w:rFonts w:cs="Times New Roman"/>
                <w:bCs/>
                <w:color w:val="000000"/>
                <w:sz w:val="16"/>
                <w:szCs w:val="16"/>
              </w:rPr>
            </w:pPr>
          </w:p>
        </w:tc>
        <w:tc>
          <w:tcPr>
            <w:tcW w:w="323" w:type="pct"/>
            <w:tcBorders>
              <w:top w:val="single" w:sz="4" w:space="0" w:color="auto"/>
              <w:left w:val="nil"/>
              <w:bottom w:val="single" w:sz="4" w:space="0" w:color="auto"/>
              <w:right w:val="single" w:sz="4" w:space="0" w:color="auto"/>
            </w:tcBorders>
            <w:noWrap/>
            <w:hideMark/>
          </w:tcPr>
          <w:p w14:paraId="6F32BA48" w14:textId="77777777" w:rsidR="00A755CE" w:rsidRPr="004E53C4" w:rsidRDefault="00A755CE" w:rsidP="00454C01">
            <w:pPr>
              <w:spacing w:after="0" w:line="480" w:lineRule="auto"/>
              <w:rPr>
                <w:rFonts w:cs="Times New Roman"/>
                <w:bCs/>
                <w:color w:val="000000"/>
                <w:sz w:val="16"/>
                <w:szCs w:val="16"/>
              </w:rPr>
            </w:pPr>
            <w:r w:rsidRPr="004E53C4">
              <w:rPr>
                <w:rFonts w:cs="Times New Roman"/>
                <w:bCs/>
                <w:color w:val="000000"/>
                <w:sz w:val="16"/>
                <w:szCs w:val="16"/>
              </w:rPr>
              <w:t>T2w-SI</w:t>
            </w:r>
          </w:p>
        </w:tc>
        <w:tc>
          <w:tcPr>
            <w:tcW w:w="481" w:type="pct"/>
            <w:gridSpan w:val="2"/>
            <w:tcBorders>
              <w:top w:val="single" w:sz="4" w:space="0" w:color="auto"/>
              <w:left w:val="single" w:sz="4" w:space="0" w:color="auto"/>
              <w:bottom w:val="single" w:sz="4" w:space="0" w:color="auto"/>
              <w:right w:val="nil"/>
            </w:tcBorders>
            <w:noWrap/>
            <w:hideMark/>
          </w:tcPr>
          <w:p w14:paraId="08215D56" w14:textId="77777777" w:rsidR="00A755CE" w:rsidRPr="004E53C4" w:rsidRDefault="00A755CE" w:rsidP="00454C01">
            <w:pPr>
              <w:spacing w:after="0" w:line="480" w:lineRule="auto"/>
              <w:rPr>
                <w:rFonts w:cs="Times New Roman"/>
                <w:bCs/>
                <w:color w:val="000000"/>
                <w:sz w:val="16"/>
                <w:szCs w:val="16"/>
              </w:rPr>
            </w:pPr>
            <w:r w:rsidRPr="004E53C4">
              <w:rPr>
                <w:rFonts w:cs="Times New Roman"/>
                <w:bCs/>
                <w:color w:val="000000"/>
                <w:sz w:val="16"/>
                <w:szCs w:val="16"/>
              </w:rPr>
              <w:t>T2-mapping</w:t>
            </w:r>
          </w:p>
        </w:tc>
        <w:tc>
          <w:tcPr>
            <w:tcW w:w="384" w:type="pct"/>
            <w:tcBorders>
              <w:top w:val="single" w:sz="4" w:space="0" w:color="auto"/>
              <w:left w:val="nil"/>
              <w:bottom w:val="single" w:sz="4" w:space="0" w:color="auto"/>
              <w:right w:val="nil"/>
            </w:tcBorders>
            <w:noWrap/>
            <w:hideMark/>
          </w:tcPr>
          <w:p w14:paraId="0306656B" w14:textId="77777777" w:rsidR="00A755CE" w:rsidRDefault="00A755CE" w:rsidP="00454C01">
            <w:pPr>
              <w:spacing w:after="0" w:line="480" w:lineRule="auto"/>
              <w:rPr>
                <w:rFonts w:cs="Times New Roman"/>
                <w:bCs/>
                <w:color w:val="000000"/>
                <w:sz w:val="16"/>
                <w:szCs w:val="16"/>
              </w:rPr>
            </w:pPr>
            <w:r w:rsidRPr="004E53C4">
              <w:rPr>
                <w:rFonts w:cs="Times New Roman"/>
                <w:bCs/>
                <w:color w:val="000000"/>
                <w:sz w:val="16"/>
                <w:szCs w:val="16"/>
              </w:rPr>
              <w:t>D</w:t>
            </w:r>
            <w:r>
              <w:rPr>
                <w:rFonts w:cs="Times New Roman"/>
                <w:bCs/>
                <w:color w:val="000000"/>
                <w:sz w:val="16"/>
                <w:szCs w:val="16"/>
              </w:rPr>
              <w:t>ixon</w:t>
            </w:r>
          </w:p>
          <w:p w14:paraId="276D5DB0" w14:textId="77777777" w:rsidR="00A755CE" w:rsidRPr="004E53C4" w:rsidRDefault="00A755CE" w:rsidP="00454C01">
            <w:pPr>
              <w:spacing w:after="0" w:line="480" w:lineRule="auto"/>
              <w:rPr>
                <w:rFonts w:cs="Times New Roman"/>
                <w:bCs/>
                <w:color w:val="000000"/>
                <w:sz w:val="16"/>
                <w:szCs w:val="16"/>
              </w:rPr>
            </w:pPr>
          </w:p>
        </w:tc>
        <w:tc>
          <w:tcPr>
            <w:tcW w:w="384" w:type="pct"/>
            <w:tcBorders>
              <w:top w:val="single" w:sz="4" w:space="0" w:color="auto"/>
              <w:left w:val="nil"/>
              <w:bottom w:val="single" w:sz="4" w:space="0" w:color="auto"/>
              <w:right w:val="single" w:sz="4" w:space="0" w:color="auto"/>
            </w:tcBorders>
            <w:noWrap/>
            <w:hideMark/>
          </w:tcPr>
          <w:p w14:paraId="29AFFC09" w14:textId="77777777" w:rsidR="00A755CE" w:rsidRPr="004E53C4" w:rsidRDefault="00A755CE" w:rsidP="00454C01">
            <w:pPr>
              <w:spacing w:after="0" w:line="480" w:lineRule="auto"/>
              <w:rPr>
                <w:rFonts w:cs="Times New Roman"/>
                <w:bCs/>
                <w:color w:val="000000"/>
                <w:sz w:val="16"/>
                <w:szCs w:val="16"/>
              </w:rPr>
            </w:pPr>
            <w:r w:rsidRPr="004E53C4">
              <w:rPr>
                <w:rFonts w:cs="Times New Roman"/>
                <w:bCs/>
                <w:color w:val="000000"/>
                <w:sz w:val="16"/>
                <w:szCs w:val="16"/>
              </w:rPr>
              <w:t>T2w-SI</w:t>
            </w:r>
          </w:p>
        </w:tc>
        <w:tc>
          <w:tcPr>
            <w:tcW w:w="467" w:type="pct"/>
            <w:gridSpan w:val="2"/>
            <w:tcBorders>
              <w:top w:val="single" w:sz="4" w:space="0" w:color="auto"/>
              <w:left w:val="single" w:sz="4" w:space="0" w:color="auto"/>
              <w:bottom w:val="single" w:sz="4" w:space="0" w:color="auto"/>
              <w:right w:val="nil"/>
            </w:tcBorders>
            <w:noWrap/>
            <w:hideMark/>
          </w:tcPr>
          <w:p w14:paraId="5F64C09B" w14:textId="77777777" w:rsidR="00A755CE" w:rsidRPr="004E53C4" w:rsidRDefault="00A755CE" w:rsidP="00454C01">
            <w:pPr>
              <w:spacing w:after="0" w:line="480" w:lineRule="auto"/>
              <w:rPr>
                <w:rFonts w:cs="Times New Roman"/>
                <w:bCs/>
                <w:color w:val="000000"/>
                <w:sz w:val="16"/>
                <w:szCs w:val="16"/>
              </w:rPr>
            </w:pPr>
            <w:r w:rsidRPr="004E53C4">
              <w:rPr>
                <w:rFonts w:cs="Times New Roman"/>
                <w:bCs/>
                <w:color w:val="000000"/>
                <w:sz w:val="16"/>
                <w:szCs w:val="16"/>
              </w:rPr>
              <w:t>T2-mapping</w:t>
            </w:r>
          </w:p>
        </w:tc>
        <w:tc>
          <w:tcPr>
            <w:tcW w:w="385" w:type="pct"/>
            <w:tcBorders>
              <w:top w:val="single" w:sz="4" w:space="0" w:color="auto"/>
              <w:left w:val="nil"/>
              <w:bottom w:val="single" w:sz="4" w:space="0" w:color="auto"/>
              <w:right w:val="nil"/>
            </w:tcBorders>
            <w:noWrap/>
            <w:hideMark/>
          </w:tcPr>
          <w:p w14:paraId="373DE442" w14:textId="77777777" w:rsidR="00A755CE" w:rsidRDefault="00A755CE" w:rsidP="00454C01">
            <w:pPr>
              <w:spacing w:after="0" w:line="480" w:lineRule="auto"/>
              <w:rPr>
                <w:rFonts w:cs="Times New Roman"/>
                <w:bCs/>
                <w:color w:val="000000"/>
                <w:sz w:val="16"/>
                <w:szCs w:val="16"/>
              </w:rPr>
            </w:pPr>
            <w:r w:rsidRPr="004E53C4">
              <w:rPr>
                <w:rFonts w:cs="Times New Roman"/>
                <w:bCs/>
                <w:color w:val="000000"/>
                <w:sz w:val="16"/>
                <w:szCs w:val="16"/>
              </w:rPr>
              <w:t>D</w:t>
            </w:r>
            <w:r>
              <w:rPr>
                <w:rFonts w:cs="Times New Roman"/>
                <w:bCs/>
                <w:color w:val="000000"/>
                <w:sz w:val="16"/>
                <w:szCs w:val="16"/>
              </w:rPr>
              <w:t>ixon</w:t>
            </w:r>
          </w:p>
          <w:p w14:paraId="5C6A8BAC" w14:textId="77777777" w:rsidR="00A755CE" w:rsidRPr="004E53C4" w:rsidRDefault="00A755CE" w:rsidP="00454C01">
            <w:pPr>
              <w:spacing w:after="0" w:line="480" w:lineRule="auto"/>
              <w:rPr>
                <w:rFonts w:cs="Times New Roman"/>
                <w:bCs/>
                <w:color w:val="000000"/>
                <w:sz w:val="16"/>
                <w:szCs w:val="16"/>
              </w:rPr>
            </w:pPr>
          </w:p>
        </w:tc>
        <w:tc>
          <w:tcPr>
            <w:tcW w:w="374" w:type="pct"/>
            <w:gridSpan w:val="2"/>
            <w:tcBorders>
              <w:top w:val="single" w:sz="4" w:space="0" w:color="auto"/>
              <w:left w:val="nil"/>
              <w:bottom w:val="single" w:sz="4" w:space="0" w:color="auto"/>
              <w:right w:val="nil"/>
            </w:tcBorders>
            <w:noWrap/>
            <w:hideMark/>
          </w:tcPr>
          <w:p w14:paraId="7E7D1B33" w14:textId="77777777" w:rsidR="00A755CE" w:rsidRPr="004E53C4" w:rsidRDefault="00A755CE" w:rsidP="00454C01">
            <w:pPr>
              <w:spacing w:after="0" w:line="480" w:lineRule="auto"/>
              <w:rPr>
                <w:rFonts w:cs="Times New Roman"/>
                <w:bCs/>
                <w:color w:val="000000"/>
                <w:sz w:val="16"/>
                <w:szCs w:val="16"/>
              </w:rPr>
            </w:pPr>
            <w:r w:rsidRPr="004E53C4">
              <w:rPr>
                <w:rFonts w:cs="Times New Roman"/>
                <w:bCs/>
                <w:color w:val="000000"/>
                <w:sz w:val="16"/>
                <w:szCs w:val="16"/>
              </w:rPr>
              <w:t>T2w-SI</w:t>
            </w:r>
          </w:p>
        </w:tc>
      </w:tr>
      <w:tr w:rsidR="00AB2CEE" w14:paraId="52D7AC3C" w14:textId="77777777" w:rsidTr="00AB2CEE">
        <w:trPr>
          <w:gridAfter w:val="2"/>
          <w:wAfter w:w="28" w:type="pct"/>
          <w:trHeight w:val="576"/>
        </w:trPr>
        <w:tc>
          <w:tcPr>
            <w:tcW w:w="651" w:type="pct"/>
            <w:vMerge w:val="restart"/>
            <w:tcBorders>
              <w:top w:val="single" w:sz="4" w:space="0" w:color="auto"/>
              <w:left w:val="nil"/>
              <w:bottom w:val="single" w:sz="4" w:space="0" w:color="auto"/>
              <w:right w:val="single" w:sz="4" w:space="0" w:color="auto"/>
            </w:tcBorders>
            <w:hideMark/>
          </w:tcPr>
          <w:p w14:paraId="52FEAC21" w14:textId="77777777" w:rsidR="00A755CE" w:rsidRPr="004E53C4" w:rsidRDefault="00A755CE" w:rsidP="00454C01">
            <w:pPr>
              <w:spacing w:after="0" w:line="360" w:lineRule="auto"/>
              <w:jc w:val="left"/>
              <w:rPr>
                <w:rFonts w:eastAsia="Times New Roman" w:cs="Times New Roman"/>
                <w:b/>
                <w:bCs/>
                <w:color w:val="000000"/>
                <w:sz w:val="16"/>
                <w:szCs w:val="16"/>
                <w:lang w:eastAsia="en-AU"/>
              </w:rPr>
            </w:pPr>
            <w:r w:rsidRPr="004E53C4">
              <w:rPr>
                <w:rFonts w:eastAsia="Times New Roman" w:cs="Times New Roman"/>
                <w:b/>
                <w:bCs/>
                <w:color w:val="000000"/>
                <w:sz w:val="16"/>
                <w:szCs w:val="16"/>
                <w:lang w:eastAsia="en-AU"/>
              </w:rPr>
              <w:t>Whole IVD</w:t>
            </w:r>
          </w:p>
        </w:tc>
        <w:tc>
          <w:tcPr>
            <w:tcW w:w="652" w:type="pct"/>
            <w:tcBorders>
              <w:top w:val="single" w:sz="4" w:space="0" w:color="auto"/>
              <w:left w:val="single" w:sz="4" w:space="0" w:color="auto"/>
              <w:bottom w:val="nil"/>
              <w:right w:val="single" w:sz="4" w:space="0" w:color="auto"/>
            </w:tcBorders>
            <w:noWrap/>
            <w:hideMark/>
          </w:tcPr>
          <w:p w14:paraId="0F1E54F1" w14:textId="77777777" w:rsidR="00A755CE" w:rsidRPr="004E53C4" w:rsidRDefault="00A755CE" w:rsidP="00454C01">
            <w:pPr>
              <w:spacing w:after="0" w:line="480" w:lineRule="auto"/>
              <w:jc w:val="left"/>
              <w:rPr>
                <w:rFonts w:cs="Times New Roman"/>
                <w:bCs/>
                <w:color w:val="000000"/>
                <w:sz w:val="16"/>
                <w:szCs w:val="16"/>
              </w:rPr>
            </w:pPr>
            <w:r w:rsidRPr="004E53C4">
              <w:rPr>
                <w:rFonts w:cs="Times New Roman"/>
                <w:bCs/>
                <w:color w:val="000000"/>
                <w:sz w:val="16"/>
                <w:szCs w:val="16"/>
              </w:rPr>
              <w:t>T2-mapping</w:t>
            </w:r>
          </w:p>
        </w:tc>
        <w:tc>
          <w:tcPr>
            <w:tcW w:w="487" w:type="pct"/>
            <w:gridSpan w:val="2"/>
            <w:tcBorders>
              <w:top w:val="single" w:sz="4" w:space="0" w:color="auto"/>
              <w:left w:val="single" w:sz="4" w:space="0" w:color="auto"/>
              <w:bottom w:val="dotted" w:sz="4" w:space="0" w:color="000000" w:themeColor="text1"/>
              <w:right w:val="nil"/>
            </w:tcBorders>
            <w:shd w:val="clear" w:color="auto" w:fill="000000" w:themeFill="text1"/>
            <w:noWrap/>
          </w:tcPr>
          <w:p w14:paraId="19AD6B0F" w14:textId="77777777" w:rsidR="00A755CE" w:rsidRPr="004E53C4" w:rsidRDefault="00A755CE" w:rsidP="00454C01">
            <w:pPr>
              <w:spacing w:after="0" w:line="360" w:lineRule="auto"/>
              <w:jc w:val="left"/>
              <w:rPr>
                <w:rFonts w:eastAsia="Times New Roman" w:cs="Times New Roman"/>
                <w:color w:val="000000"/>
                <w:sz w:val="20"/>
                <w:szCs w:val="20"/>
                <w:lang w:eastAsia="en-AU"/>
              </w:rPr>
            </w:pPr>
          </w:p>
        </w:tc>
        <w:tc>
          <w:tcPr>
            <w:tcW w:w="405" w:type="pct"/>
            <w:tcBorders>
              <w:top w:val="single" w:sz="4" w:space="0" w:color="auto"/>
              <w:left w:val="nil"/>
              <w:bottom w:val="dotted" w:sz="4" w:space="0" w:color="000000" w:themeColor="text1"/>
              <w:right w:val="nil"/>
            </w:tcBorders>
            <w:noWrap/>
            <w:hideMark/>
          </w:tcPr>
          <w:p w14:paraId="2CF0D932" w14:textId="1DF6CFC7" w:rsidR="00A755CE" w:rsidRPr="005636C0" w:rsidRDefault="00A755CE" w:rsidP="00454C01">
            <w:pPr>
              <w:spacing w:after="0" w:line="360" w:lineRule="auto"/>
              <w:rPr>
                <w:rFonts w:eastAsia="Times New Roman" w:cs="Times New Roman"/>
                <w:b/>
                <w:color w:val="000000"/>
                <w:sz w:val="18"/>
                <w:szCs w:val="18"/>
                <w:lang w:eastAsia="en-AU"/>
              </w:rPr>
            </w:pPr>
            <w:r w:rsidRPr="005636C0">
              <w:rPr>
                <w:rFonts w:eastAsia="Times New Roman" w:cs="Times New Roman"/>
                <w:b/>
                <w:color w:val="000000"/>
                <w:sz w:val="18"/>
                <w:szCs w:val="18"/>
                <w:lang w:eastAsia="en-AU"/>
              </w:rPr>
              <w:t>0.1</w:t>
            </w:r>
            <w:r>
              <w:rPr>
                <w:rFonts w:eastAsia="Times New Roman" w:cs="Times New Roman"/>
                <w:b/>
                <w:color w:val="000000"/>
                <w:sz w:val="18"/>
                <w:szCs w:val="18"/>
                <w:lang w:eastAsia="en-AU"/>
              </w:rPr>
              <w:t>0</w:t>
            </w:r>
            <w:r w:rsidR="00AB2CEE">
              <w:rPr>
                <w:rFonts w:eastAsia="Times New Roman" w:cs="Times New Roman"/>
                <w:b/>
                <w:color w:val="000000"/>
                <w:sz w:val="18"/>
                <w:szCs w:val="18"/>
                <w:lang w:eastAsia="en-AU"/>
              </w:rPr>
              <w:br/>
            </w:r>
            <w:r w:rsidRPr="005636C0">
              <w:rPr>
                <w:rFonts w:eastAsia="Times New Roman" w:cs="Times New Roman"/>
                <w:b/>
                <w:color w:val="000000"/>
                <w:sz w:val="18"/>
                <w:szCs w:val="18"/>
                <w:lang w:eastAsia="en-AU"/>
              </w:rPr>
              <w:t>*</w:t>
            </w:r>
          </w:p>
        </w:tc>
        <w:tc>
          <w:tcPr>
            <w:tcW w:w="323" w:type="pct"/>
            <w:tcBorders>
              <w:top w:val="single" w:sz="4" w:space="0" w:color="auto"/>
              <w:left w:val="nil"/>
              <w:bottom w:val="dotted" w:sz="4" w:space="0" w:color="000000" w:themeColor="text1"/>
              <w:right w:val="nil"/>
            </w:tcBorders>
            <w:noWrap/>
            <w:hideMark/>
          </w:tcPr>
          <w:p w14:paraId="2EC9163A" w14:textId="77777777" w:rsidR="00A755CE" w:rsidRPr="005636C0" w:rsidRDefault="00A755CE" w:rsidP="00454C01">
            <w:pPr>
              <w:spacing w:after="0" w:line="360" w:lineRule="auto"/>
              <w:rPr>
                <w:rFonts w:eastAsia="Times New Roman" w:cs="Times New Roman"/>
                <w:b/>
                <w:color w:val="000000"/>
                <w:sz w:val="18"/>
                <w:szCs w:val="18"/>
                <w:lang w:eastAsia="en-AU"/>
              </w:rPr>
            </w:pPr>
            <w:r w:rsidRPr="005636C0">
              <w:rPr>
                <w:rFonts w:cs="Times New Roman"/>
                <w:b/>
                <w:sz w:val="18"/>
                <w:szCs w:val="18"/>
              </w:rPr>
              <w:t>0.51‡</w:t>
            </w:r>
          </w:p>
        </w:tc>
        <w:tc>
          <w:tcPr>
            <w:tcW w:w="481" w:type="pct"/>
            <w:gridSpan w:val="2"/>
            <w:tcBorders>
              <w:top w:val="single" w:sz="4" w:space="0" w:color="auto"/>
              <w:left w:val="nil"/>
              <w:bottom w:val="dotted" w:sz="4" w:space="0" w:color="000000" w:themeColor="text1"/>
              <w:right w:val="nil"/>
            </w:tcBorders>
            <w:noWrap/>
            <w:hideMark/>
          </w:tcPr>
          <w:p w14:paraId="73667859" w14:textId="2215CFF5" w:rsidR="00A755CE" w:rsidRPr="005636C0" w:rsidRDefault="00A755CE" w:rsidP="00454C01">
            <w:pPr>
              <w:spacing w:after="0" w:line="360" w:lineRule="auto"/>
              <w:rPr>
                <w:rFonts w:eastAsia="Times New Roman" w:cs="Times New Roman"/>
                <w:b/>
                <w:color w:val="000000"/>
                <w:sz w:val="18"/>
                <w:szCs w:val="18"/>
                <w:lang w:eastAsia="en-AU"/>
              </w:rPr>
            </w:pPr>
            <w:r w:rsidRPr="005636C0">
              <w:rPr>
                <w:rFonts w:eastAsia="Times New Roman" w:cs="Times New Roman"/>
                <w:b/>
                <w:color w:val="000000"/>
                <w:sz w:val="18"/>
                <w:szCs w:val="18"/>
                <w:lang w:eastAsia="en-AU"/>
              </w:rPr>
              <w:t>0.93</w:t>
            </w:r>
            <w:r w:rsidR="00AB2CEE">
              <w:rPr>
                <w:rFonts w:eastAsia="Times New Roman" w:cs="Times New Roman"/>
                <w:b/>
                <w:color w:val="000000"/>
                <w:sz w:val="18"/>
                <w:szCs w:val="18"/>
                <w:lang w:eastAsia="en-AU"/>
              </w:rPr>
              <w:br/>
            </w:r>
            <w:r w:rsidRPr="005636C0">
              <w:rPr>
                <w:rFonts w:eastAsia="Times New Roman" w:cs="Times New Roman"/>
                <w:b/>
                <w:color w:val="000000"/>
                <w:sz w:val="18"/>
                <w:szCs w:val="18"/>
                <w:lang w:eastAsia="en-AU"/>
              </w:rPr>
              <w:t>‡</w:t>
            </w:r>
          </w:p>
        </w:tc>
        <w:tc>
          <w:tcPr>
            <w:tcW w:w="384" w:type="pct"/>
            <w:tcBorders>
              <w:top w:val="single" w:sz="4" w:space="0" w:color="auto"/>
              <w:left w:val="nil"/>
              <w:bottom w:val="dotted" w:sz="4" w:space="0" w:color="000000" w:themeColor="text1"/>
              <w:right w:val="nil"/>
            </w:tcBorders>
            <w:noWrap/>
            <w:hideMark/>
          </w:tcPr>
          <w:p w14:paraId="3D23E0E6" w14:textId="0E968855" w:rsidR="00A755CE" w:rsidRPr="005636C0" w:rsidRDefault="00A755CE" w:rsidP="00454C01">
            <w:pPr>
              <w:spacing w:after="0" w:line="360" w:lineRule="auto"/>
              <w:rPr>
                <w:rFonts w:eastAsia="Times New Roman" w:cs="Times New Roman"/>
                <w:b/>
                <w:color w:val="000000"/>
                <w:sz w:val="18"/>
                <w:szCs w:val="18"/>
                <w:lang w:eastAsia="en-AU"/>
              </w:rPr>
            </w:pPr>
            <w:r w:rsidRPr="005636C0">
              <w:rPr>
                <w:rFonts w:eastAsia="Times New Roman" w:cs="Times New Roman"/>
                <w:b/>
                <w:color w:val="000000"/>
                <w:sz w:val="18"/>
                <w:szCs w:val="18"/>
                <w:lang w:eastAsia="en-AU"/>
              </w:rPr>
              <w:t>0.10</w:t>
            </w:r>
            <w:r w:rsidR="00AB2CEE">
              <w:rPr>
                <w:rFonts w:eastAsia="Times New Roman" w:cs="Times New Roman"/>
                <w:b/>
                <w:color w:val="000000"/>
                <w:sz w:val="18"/>
                <w:szCs w:val="18"/>
                <w:lang w:eastAsia="en-AU"/>
              </w:rPr>
              <w:br/>
            </w:r>
            <w:r w:rsidRPr="005636C0">
              <w:rPr>
                <w:rFonts w:eastAsia="Times New Roman" w:cs="Times New Roman"/>
                <w:b/>
                <w:color w:val="000000"/>
                <w:sz w:val="18"/>
                <w:szCs w:val="18"/>
                <w:lang w:eastAsia="en-AU"/>
              </w:rPr>
              <w:t>*</w:t>
            </w:r>
          </w:p>
        </w:tc>
        <w:tc>
          <w:tcPr>
            <w:tcW w:w="384" w:type="pct"/>
            <w:tcBorders>
              <w:top w:val="single" w:sz="4" w:space="0" w:color="auto"/>
              <w:left w:val="nil"/>
              <w:bottom w:val="dotted" w:sz="4" w:space="0" w:color="000000" w:themeColor="text1"/>
              <w:right w:val="nil"/>
            </w:tcBorders>
            <w:noWrap/>
            <w:hideMark/>
          </w:tcPr>
          <w:p w14:paraId="2477A70E" w14:textId="6745350E" w:rsidR="00A755CE" w:rsidRPr="005636C0" w:rsidRDefault="00A755CE" w:rsidP="00454C01">
            <w:pPr>
              <w:spacing w:after="0" w:line="360" w:lineRule="auto"/>
              <w:rPr>
                <w:rFonts w:eastAsia="Times New Roman" w:cs="Times New Roman"/>
                <w:b/>
                <w:color w:val="000000"/>
                <w:sz w:val="18"/>
                <w:szCs w:val="18"/>
                <w:lang w:eastAsia="en-AU"/>
              </w:rPr>
            </w:pPr>
            <w:r w:rsidRPr="005636C0">
              <w:rPr>
                <w:rFonts w:cs="Times New Roman"/>
                <w:b/>
                <w:sz w:val="18"/>
                <w:szCs w:val="18"/>
              </w:rPr>
              <w:t>0.46</w:t>
            </w:r>
            <w:r w:rsidR="00AB2CEE">
              <w:rPr>
                <w:rFonts w:cs="Times New Roman"/>
                <w:b/>
                <w:sz w:val="18"/>
                <w:szCs w:val="18"/>
              </w:rPr>
              <w:br/>
            </w:r>
            <w:r w:rsidRPr="005636C0">
              <w:rPr>
                <w:rFonts w:cs="Times New Roman"/>
                <w:b/>
                <w:sz w:val="18"/>
                <w:szCs w:val="18"/>
              </w:rPr>
              <w:t>‡</w:t>
            </w:r>
          </w:p>
        </w:tc>
        <w:tc>
          <w:tcPr>
            <w:tcW w:w="467" w:type="pct"/>
            <w:gridSpan w:val="2"/>
            <w:tcBorders>
              <w:top w:val="single" w:sz="4" w:space="0" w:color="auto"/>
              <w:left w:val="nil"/>
              <w:bottom w:val="dotted" w:sz="4" w:space="0" w:color="000000" w:themeColor="text1"/>
              <w:right w:val="nil"/>
            </w:tcBorders>
            <w:noWrap/>
            <w:hideMark/>
          </w:tcPr>
          <w:p w14:paraId="1D509336" w14:textId="71A37301" w:rsidR="00A755CE" w:rsidRPr="005636C0" w:rsidRDefault="00A755CE" w:rsidP="00454C01">
            <w:pPr>
              <w:spacing w:after="0" w:line="360" w:lineRule="auto"/>
              <w:rPr>
                <w:rFonts w:eastAsia="Times New Roman" w:cs="Times New Roman"/>
                <w:b/>
                <w:color w:val="000000"/>
                <w:sz w:val="18"/>
                <w:szCs w:val="18"/>
                <w:lang w:eastAsia="en-AU"/>
              </w:rPr>
            </w:pPr>
            <w:r w:rsidRPr="005636C0">
              <w:rPr>
                <w:rFonts w:eastAsia="Times New Roman" w:cs="Times New Roman"/>
                <w:b/>
                <w:color w:val="000000"/>
                <w:sz w:val="18"/>
                <w:szCs w:val="18"/>
                <w:lang w:eastAsia="en-AU"/>
              </w:rPr>
              <w:t>0.43</w:t>
            </w:r>
            <w:r w:rsidR="00AB2CEE">
              <w:rPr>
                <w:rFonts w:eastAsia="Times New Roman" w:cs="Times New Roman"/>
                <w:b/>
                <w:color w:val="000000"/>
                <w:sz w:val="18"/>
                <w:szCs w:val="18"/>
                <w:lang w:eastAsia="en-AU"/>
              </w:rPr>
              <w:br/>
            </w:r>
            <w:r w:rsidRPr="005636C0">
              <w:rPr>
                <w:rFonts w:eastAsia="Times New Roman" w:cs="Times New Roman"/>
                <w:b/>
                <w:color w:val="000000"/>
                <w:sz w:val="18"/>
                <w:szCs w:val="18"/>
                <w:lang w:eastAsia="en-AU"/>
              </w:rPr>
              <w:t>‡</w:t>
            </w:r>
          </w:p>
        </w:tc>
        <w:tc>
          <w:tcPr>
            <w:tcW w:w="385" w:type="pct"/>
            <w:tcBorders>
              <w:top w:val="single" w:sz="4" w:space="0" w:color="auto"/>
              <w:left w:val="nil"/>
              <w:bottom w:val="dotted" w:sz="4" w:space="0" w:color="000000" w:themeColor="text1"/>
              <w:right w:val="nil"/>
            </w:tcBorders>
            <w:noWrap/>
            <w:hideMark/>
          </w:tcPr>
          <w:p w14:paraId="372C5144" w14:textId="45D0F8EC" w:rsidR="00A755CE" w:rsidRPr="005636C0" w:rsidRDefault="00A755CE" w:rsidP="00454C01">
            <w:pPr>
              <w:spacing w:after="0" w:line="360" w:lineRule="auto"/>
              <w:rPr>
                <w:rFonts w:eastAsia="Times New Roman" w:cs="Times New Roman"/>
                <w:color w:val="000000"/>
                <w:sz w:val="18"/>
                <w:szCs w:val="18"/>
                <w:lang w:eastAsia="en-AU"/>
              </w:rPr>
            </w:pPr>
            <w:r w:rsidRPr="005636C0">
              <w:rPr>
                <w:rFonts w:cs="Times New Roman"/>
                <w:sz w:val="18"/>
                <w:szCs w:val="18"/>
              </w:rPr>
              <w:t>0.05</w:t>
            </w:r>
            <w:r w:rsidR="00AB2CEE">
              <w:rPr>
                <w:rFonts w:cs="Times New Roman"/>
                <w:sz w:val="18"/>
                <w:szCs w:val="18"/>
              </w:rPr>
              <w:br/>
            </w:r>
          </w:p>
        </w:tc>
        <w:tc>
          <w:tcPr>
            <w:tcW w:w="354" w:type="pct"/>
            <w:tcBorders>
              <w:top w:val="single" w:sz="4" w:space="0" w:color="auto"/>
              <w:left w:val="nil"/>
              <w:bottom w:val="dotted" w:sz="4" w:space="0" w:color="000000" w:themeColor="text1"/>
              <w:right w:val="nil"/>
            </w:tcBorders>
            <w:noWrap/>
            <w:hideMark/>
          </w:tcPr>
          <w:p w14:paraId="3A365E97" w14:textId="30376C26" w:rsidR="00A755CE" w:rsidRPr="005636C0" w:rsidRDefault="00A755CE" w:rsidP="00454C01">
            <w:pPr>
              <w:spacing w:after="0" w:line="360" w:lineRule="auto"/>
              <w:rPr>
                <w:rFonts w:eastAsia="Times New Roman" w:cs="Times New Roman"/>
                <w:b/>
                <w:color w:val="000000"/>
                <w:sz w:val="18"/>
                <w:szCs w:val="18"/>
                <w:lang w:eastAsia="en-AU"/>
              </w:rPr>
            </w:pPr>
            <w:r w:rsidRPr="005636C0">
              <w:rPr>
                <w:rFonts w:cs="Times New Roman"/>
                <w:b/>
                <w:sz w:val="18"/>
                <w:szCs w:val="18"/>
              </w:rPr>
              <w:t>0.24</w:t>
            </w:r>
            <w:r w:rsidR="00AB2CEE">
              <w:rPr>
                <w:rFonts w:cs="Times New Roman"/>
                <w:b/>
                <w:sz w:val="18"/>
                <w:szCs w:val="18"/>
              </w:rPr>
              <w:br/>
            </w:r>
            <w:r w:rsidRPr="005636C0">
              <w:rPr>
                <w:rFonts w:cs="Times New Roman"/>
                <w:b/>
                <w:sz w:val="18"/>
                <w:szCs w:val="18"/>
              </w:rPr>
              <w:t>‡</w:t>
            </w:r>
          </w:p>
        </w:tc>
      </w:tr>
      <w:tr w:rsidR="00AB2CEE" w14:paraId="521600E2" w14:textId="77777777" w:rsidTr="00AB2CEE">
        <w:trPr>
          <w:gridAfter w:val="2"/>
          <w:wAfter w:w="28" w:type="pct"/>
          <w:trHeight w:val="576"/>
        </w:trPr>
        <w:tc>
          <w:tcPr>
            <w:tcW w:w="651" w:type="pct"/>
            <w:vMerge/>
            <w:tcBorders>
              <w:top w:val="single" w:sz="4" w:space="0" w:color="auto"/>
              <w:left w:val="nil"/>
              <w:bottom w:val="single" w:sz="4" w:space="0" w:color="auto"/>
              <w:right w:val="single" w:sz="4" w:space="0" w:color="auto"/>
            </w:tcBorders>
            <w:hideMark/>
          </w:tcPr>
          <w:p w14:paraId="36F74A6C" w14:textId="77777777" w:rsidR="00A755CE" w:rsidRPr="004E53C4" w:rsidRDefault="00A755CE" w:rsidP="00454C01">
            <w:pPr>
              <w:spacing w:after="0"/>
              <w:jc w:val="left"/>
              <w:rPr>
                <w:rFonts w:eastAsia="Times New Roman" w:cs="Times New Roman"/>
                <w:b/>
                <w:bCs/>
                <w:color w:val="000000"/>
                <w:sz w:val="16"/>
                <w:szCs w:val="16"/>
                <w:lang w:val="en-AU" w:eastAsia="en-AU"/>
              </w:rPr>
            </w:pPr>
          </w:p>
        </w:tc>
        <w:tc>
          <w:tcPr>
            <w:tcW w:w="652" w:type="pct"/>
            <w:tcBorders>
              <w:top w:val="nil"/>
              <w:left w:val="single" w:sz="4" w:space="0" w:color="auto"/>
              <w:bottom w:val="nil"/>
              <w:right w:val="single" w:sz="4" w:space="0" w:color="auto"/>
            </w:tcBorders>
            <w:noWrap/>
            <w:hideMark/>
          </w:tcPr>
          <w:p w14:paraId="47EED5CB" w14:textId="77777777" w:rsidR="00A755CE" w:rsidRPr="004E53C4" w:rsidRDefault="00A755CE" w:rsidP="00454C01">
            <w:pPr>
              <w:spacing w:after="0" w:line="480" w:lineRule="auto"/>
              <w:jc w:val="left"/>
              <w:rPr>
                <w:rFonts w:cs="Times New Roman"/>
                <w:bCs/>
                <w:color w:val="000000"/>
                <w:sz w:val="16"/>
                <w:szCs w:val="16"/>
              </w:rPr>
            </w:pPr>
            <w:r w:rsidRPr="004E53C4">
              <w:rPr>
                <w:rFonts w:cs="Times New Roman"/>
                <w:bCs/>
                <w:color w:val="000000"/>
                <w:sz w:val="16"/>
                <w:szCs w:val="16"/>
              </w:rPr>
              <w:t>D</w:t>
            </w:r>
            <w:r>
              <w:rPr>
                <w:rFonts w:cs="Times New Roman"/>
                <w:bCs/>
                <w:color w:val="000000"/>
                <w:sz w:val="16"/>
                <w:szCs w:val="16"/>
              </w:rPr>
              <w:t>ixon</w:t>
            </w:r>
          </w:p>
        </w:tc>
        <w:tc>
          <w:tcPr>
            <w:tcW w:w="487" w:type="pct"/>
            <w:gridSpan w:val="2"/>
            <w:tcBorders>
              <w:top w:val="dotted" w:sz="4" w:space="0" w:color="000000" w:themeColor="text1"/>
              <w:left w:val="single" w:sz="4" w:space="0" w:color="auto"/>
              <w:bottom w:val="dotted" w:sz="4" w:space="0" w:color="000000" w:themeColor="text1"/>
              <w:right w:val="nil"/>
            </w:tcBorders>
            <w:noWrap/>
          </w:tcPr>
          <w:p w14:paraId="308CAE4E" w14:textId="77777777" w:rsidR="00A755CE" w:rsidRPr="004E53C4" w:rsidRDefault="00A755CE" w:rsidP="00454C01">
            <w:pPr>
              <w:spacing w:after="0" w:line="360" w:lineRule="auto"/>
              <w:jc w:val="left"/>
              <w:rPr>
                <w:rFonts w:eastAsia="Times New Roman" w:cs="Times New Roman"/>
                <w:color w:val="FFFFFF"/>
                <w:sz w:val="20"/>
                <w:szCs w:val="20"/>
                <w:lang w:eastAsia="en-AU"/>
              </w:rPr>
            </w:pPr>
          </w:p>
        </w:tc>
        <w:tc>
          <w:tcPr>
            <w:tcW w:w="405" w:type="pct"/>
            <w:tcBorders>
              <w:top w:val="dotted" w:sz="4" w:space="0" w:color="000000" w:themeColor="text1"/>
              <w:left w:val="nil"/>
              <w:bottom w:val="dotted" w:sz="4" w:space="0" w:color="000000" w:themeColor="text1"/>
              <w:right w:val="nil"/>
            </w:tcBorders>
            <w:shd w:val="clear" w:color="auto" w:fill="000000" w:themeFill="text1"/>
            <w:noWrap/>
          </w:tcPr>
          <w:p w14:paraId="2007ACD9" w14:textId="77777777" w:rsidR="00A755CE" w:rsidRPr="005636C0" w:rsidRDefault="00A755CE" w:rsidP="00454C01">
            <w:pPr>
              <w:spacing w:after="0" w:line="360" w:lineRule="auto"/>
              <w:rPr>
                <w:rFonts w:eastAsia="Times New Roman" w:cs="Times New Roman"/>
                <w:b/>
                <w:color w:val="000000"/>
                <w:sz w:val="18"/>
                <w:szCs w:val="18"/>
                <w:lang w:eastAsia="en-AU"/>
              </w:rPr>
            </w:pPr>
          </w:p>
        </w:tc>
        <w:tc>
          <w:tcPr>
            <w:tcW w:w="323" w:type="pct"/>
            <w:tcBorders>
              <w:top w:val="dotted" w:sz="4" w:space="0" w:color="000000" w:themeColor="text1"/>
              <w:left w:val="nil"/>
              <w:bottom w:val="dotted" w:sz="4" w:space="0" w:color="000000" w:themeColor="text1"/>
              <w:right w:val="nil"/>
            </w:tcBorders>
            <w:noWrap/>
            <w:hideMark/>
          </w:tcPr>
          <w:p w14:paraId="617EB162" w14:textId="77777777" w:rsidR="00A755CE" w:rsidRPr="005636C0" w:rsidRDefault="00A755CE" w:rsidP="00454C01">
            <w:pPr>
              <w:spacing w:after="0" w:line="360" w:lineRule="auto"/>
              <w:rPr>
                <w:rFonts w:eastAsia="Times New Roman" w:cs="Times New Roman"/>
                <w:b/>
                <w:color w:val="000000"/>
                <w:sz w:val="18"/>
                <w:szCs w:val="18"/>
                <w:lang w:eastAsia="en-AU"/>
              </w:rPr>
            </w:pPr>
            <w:r w:rsidRPr="005636C0">
              <w:rPr>
                <w:rFonts w:cs="Times New Roman"/>
                <w:b/>
                <w:sz w:val="18"/>
                <w:szCs w:val="18"/>
              </w:rPr>
              <w:t>0.28‡</w:t>
            </w:r>
          </w:p>
        </w:tc>
        <w:tc>
          <w:tcPr>
            <w:tcW w:w="481" w:type="pct"/>
            <w:gridSpan w:val="2"/>
            <w:tcBorders>
              <w:top w:val="dotted" w:sz="4" w:space="0" w:color="000000" w:themeColor="text1"/>
              <w:left w:val="nil"/>
              <w:bottom w:val="dotted" w:sz="4" w:space="0" w:color="000000" w:themeColor="text1"/>
              <w:right w:val="nil"/>
            </w:tcBorders>
            <w:noWrap/>
            <w:hideMark/>
          </w:tcPr>
          <w:p w14:paraId="5467F16A" w14:textId="7C0B9E78" w:rsidR="00A755CE" w:rsidRPr="005636C0" w:rsidRDefault="00A755CE" w:rsidP="00454C01">
            <w:pPr>
              <w:spacing w:after="0" w:line="360" w:lineRule="auto"/>
              <w:rPr>
                <w:rFonts w:eastAsia="Times New Roman" w:cs="Times New Roman"/>
                <w:b/>
                <w:color w:val="000000"/>
                <w:sz w:val="18"/>
                <w:szCs w:val="18"/>
                <w:lang w:eastAsia="en-AU"/>
              </w:rPr>
            </w:pPr>
            <w:r w:rsidRPr="005636C0">
              <w:rPr>
                <w:rFonts w:eastAsia="Times New Roman" w:cs="Times New Roman"/>
                <w:b/>
                <w:color w:val="000000"/>
                <w:sz w:val="18"/>
                <w:szCs w:val="18"/>
                <w:lang w:eastAsia="en-AU"/>
              </w:rPr>
              <w:t>0.13</w:t>
            </w:r>
            <w:r w:rsidR="00AB2CEE">
              <w:rPr>
                <w:rFonts w:eastAsia="Times New Roman" w:cs="Times New Roman"/>
                <w:b/>
                <w:color w:val="000000"/>
                <w:sz w:val="18"/>
                <w:szCs w:val="18"/>
                <w:lang w:eastAsia="en-AU"/>
              </w:rPr>
              <w:br/>
            </w:r>
            <w:r w:rsidRPr="005636C0">
              <w:rPr>
                <w:rFonts w:eastAsia="Times New Roman" w:cs="Times New Roman"/>
                <w:b/>
                <w:color w:val="000000"/>
                <w:sz w:val="18"/>
                <w:szCs w:val="18"/>
                <w:lang w:eastAsia="en-AU"/>
              </w:rPr>
              <w:t>†</w:t>
            </w:r>
          </w:p>
        </w:tc>
        <w:tc>
          <w:tcPr>
            <w:tcW w:w="384" w:type="pct"/>
            <w:tcBorders>
              <w:top w:val="dotted" w:sz="4" w:space="0" w:color="000000" w:themeColor="text1"/>
              <w:left w:val="nil"/>
              <w:bottom w:val="dotted" w:sz="4" w:space="0" w:color="000000" w:themeColor="text1"/>
              <w:right w:val="nil"/>
            </w:tcBorders>
            <w:noWrap/>
            <w:hideMark/>
          </w:tcPr>
          <w:p w14:paraId="32A5502B" w14:textId="10BB50E2" w:rsidR="00A755CE" w:rsidRPr="005636C0" w:rsidRDefault="00A755CE" w:rsidP="00454C01">
            <w:pPr>
              <w:spacing w:after="0" w:line="360" w:lineRule="auto"/>
              <w:rPr>
                <w:rFonts w:eastAsia="Times New Roman" w:cs="Times New Roman"/>
                <w:b/>
                <w:color w:val="000000"/>
                <w:sz w:val="18"/>
                <w:szCs w:val="18"/>
                <w:lang w:eastAsia="en-AU"/>
              </w:rPr>
            </w:pPr>
            <w:r w:rsidRPr="005636C0">
              <w:rPr>
                <w:rFonts w:eastAsia="Times New Roman" w:cs="Times New Roman"/>
                <w:b/>
                <w:color w:val="000000"/>
                <w:sz w:val="18"/>
                <w:szCs w:val="18"/>
                <w:lang w:eastAsia="en-AU"/>
              </w:rPr>
              <w:t>0.99</w:t>
            </w:r>
            <w:r w:rsidR="00AB2CEE">
              <w:rPr>
                <w:rFonts w:eastAsia="Times New Roman" w:cs="Times New Roman"/>
                <w:b/>
                <w:color w:val="000000"/>
                <w:sz w:val="18"/>
                <w:szCs w:val="18"/>
                <w:lang w:eastAsia="en-AU"/>
              </w:rPr>
              <w:br/>
            </w:r>
            <w:r w:rsidRPr="005636C0">
              <w:rPr>
                <w:rFonts w:eastAsia="Times New Roman" w:cs="Times New Roman"/>
                <w:b/>
                <w:color w:val="000000"/>
                <w:sz w:val="18"/>
                <w:szCs w:val="18"/>
                <w:lang w:eastAsia="en-AU"/>
              </w:rPr>
              <w:t>‡</w:t>
            </w:r>
          </w:p>
        </w:tc>
        <w:tc>
          <w:tcPr>
            <w:tcW w:w="384" w:type="pct"/>
            <w:tcBorders>
              <w:top w:val="dotted" w:sz="4" w:space="0" w:color="000000" w:themeColor="text1"/>
              <w:left w:val="nil"/>
              <w:bottom w:val="dotted" w:sz="4" w:space="0" w:color="000000" w:themeColor="text1"/>
              <w:right w:val="nil"/>
            </w:tcBorders>
            <w:noWrap/>
            <w:hideMark/>
          </w:tcPr>
          <w:p w14:paraId="0B01413D" w14:textId="010F6480" w:rsidR="00A755CE" w:rsidRPr="005636C0" w:rsidRDefault="00A755CE" w:rsidP="00454C01">
            <w:pPr>
              <w:spacing w:after="0" w:line="360" w:lineRule="auto"/>
              <w:rPr>
                <w:rFonts w:eastAsia="Times New Roman" w:cs="Times New Roman"/>
                <w:b/>
                <w:color w:val="000000"/>
                <w:sz w:val="18"/>
                <w:szCs w:val="18"/>
                <w:lang w:eastAsia="en-AU"/>
              </w:rPr>
            </w:pPr>
            <w:r w:rsidRPr="005636C0">
              <w:rPr>
                <w:rFonts w:cs="Times New Roman"/>
                <w:b/>
                <w:sz w:val="18"/>
                <w:szCs w:val="18"/>
              </w:rPr>
              <w:t>0.25</w:t>
            </w:r>
            <w:r w:rsidR="00AB2CEE">
              <w:rPr>
                <w:rFonts w:cs="Times New Roman"/>
                <w:b/>
                <w:sz w:val="18"/>
                <w:szCs w:val="18"/>
              </w:rPr>
              <w:br/>
            </w:r>
            <w:r w:rsidRPr="005636C0">
              <w:rPr>
                <w:rFonts w:cs="Times New Roman"/>
                <w:b/>
                <w:sz w:val="18"/>
                <w:szCs w:val="18"/>
              </w:rPr>
              <w:t>‡</w:t>
            </w:r>
          </w:p>
        </w:tc>
        <w:tc>
          <w:tcPr>
            <w:tcW w:w="467" w:type="pct"/>
            <w:gridSpan w:val="2"/>
            <w:tcBorders>
              <w:top w:val="dotted" w:sz="4" w:space="0" w:color="000000" w:themeColor="text1"/>
              <w:left w:val="nil"/>
              <w:bottom w:val="dotted" w:sz="4" w:space="0" w:color="000000" w:themeColor="text1"/>
              <w:right w:val="nil"/>
            </w:tcBorders>
            <w:noWrap/>
            <w:hideMark/>
          </w:tcPr>
          <w:p w14:paraId="4A307CCE" w14:textId="62670D08" w:rsidR="00A755CE" w:rsidRPr="005636C0" w:rsidRDefault="00A755CE" w:rsidP="00454C01">
            <w:pPr>
              <w:spacing w:after="0" w:line="360" w:lineRule="auto"/>
              <w:rPr>
                <w:rFonts w:eastAsia="Times New Roman" w:cs="Times New Roman"/>
                <w:b/>
                <w:color w:val="000000"/>
                <w:sz w:val="18"/>
                <w:szCs w:val="18"/>
                <w:lang w:eastAsia="en-AU"/>
              </w:rPr>
            </w:pPr>
            <w:r w:rsidRPr="005636C0">
              <w:rPr>
                <w:rFonts w:eastAsia="Times New Roman" w:cs="Times New Roman"/>
                <w:b/>
                <w:color w:val="000000"/>
                <w:sz w:val="18"/>
                <w:szCs w:val="18"/>
                <w:lang w:eastAsia="en-AU"/>
              </w:rPr>
              <w:t>0.16</w:t>
            </w:r>
            <w:r w:rsidR="00AB2CEE">
              <w:rPr>
                <w:rFonts w:eastAsia="Times New Roman" w:cs="Times New Roman"/>
                <w:b/>
                <w:color w:val="000000"/>
                <w:sz w:val="18"/>
                <w:szCs w:val="18"/>
                <w:lang w:eastAsia="en-AU"/>
              </w:rPr>
              <w:br/>
            </w:r>
            <w:r w:rsidRPr="005636C0">
              <w:rPr>
                <w:rFonts w:eastAsia="Times New Roman" w:cs="Times New Roman"/>
                <w:b/>
                <w:color w:val="000000"/>
                <w:sz w:val="18"/>
                <w:szCs w:val="18"/>
                <w:lang w:eastAsia="en-AU"/>
              </w:rPr>
              <w:t>‡</w:t>
            </w:r>
          </w:p>
        </w:tc>
        <w:tc>
          <w:tcPr>
            <w:tcW w:w="385" w:type="pct"/>
            <w:tcBorders>
              <w:top w:val="dotted" w:sz="4" w:space="0" w:color="000000" w:themeColor="text1"/>
              <w:left w:val="nil"/>
              <w:bottom w:val="dotted" w:sz="4" w:space="0" w:color="000000" w:themeColor="text1"/>
              <w:right w:val="nil"/>
            </w:tcBorders>
            <w:noWrap/>
            <w:hideMark/>
          </w:tcPr>
          <w:p w14:paraId="4130B4CA" w14:textId="525AA204" w:rsidR="00A755CE" w:rsidRPr="005636C0" w:rsidRDefault="00A755CE" w:rsidP="00454C01">
            <w:pPr>
              <w:spacing w:after="0" w:line="360" w:lineRule="auto"/>
              <w:rPr>
                <w:rFonts w:eastAsia="Times New Roman" w:cs="Times New Roman"/>
                <w:b/>
                <w:color w:val="000000"/>
                <w:sz w:val="18"/>
                <w:szCs w:val="18"/>
                <w:lang w:eastAsia="en-AU"/>
              </w:rPr>
            </w:pPr>
            <w:r w:rsidRPr="005636C0">
              <w:rPr>
                <w:rFonts w:cs="Times New Roman"/>
                <w:b/>
                <w:sz w:val="18"/>
                <w:szCs w:val="18"/>
              </w:rPr>
              <w:t>0.38</w:t>
            </w:r>
            <w:r w:rsidR="00AB2CEE">
              <w:rPr>
                <w:rFonts w:cs="Times New Roman"/>
                <w:b/>
                <w:sz w:val="18"/>
                <w:szCs w:val="18"/>
              </w:rPr>
              <w:br/>
            </w:r>
            <w:r w:rsidRPr="005636C0">
              <w:rPr>
                <w:rFonts w:cs="Times New Roman"/>
                <w:b/>
                <w:sz w:val="18"/>
                <w:szCs w:val="18"/>
              </w:rPr>
              <w:t>‡</w:t>
            </w:r>
          </w:p>
        </w:tc>
        <w:tc>
          <w:tcPr>
            <w:tcW w:w="354" w:type="pct"/>
            <w:tcBorders>
              <w:top w:val="dotted" w:sz="4" w:space="0" w:color="000000" w:themeColor="text1"/>
              <w:left w:val="nil"/>
              <w:bottom w:val="dotted" w:sz="4" w:space="0" w:color="000000" w:themeColor="text1"/>
              <w:right w:val="nil"/>
            </w:tcBorders>
            <w:noWrap/>
            <w:hideMark/>
          </w:tcPr>
          <w:p w14:paraId="04948DF1" w14:textId="6360EE33" w:rsidR="00A755CE" w:rsidRPr="005636C0" w:rsidRDefault="00A755CE" w:rsidP="00454C01">
            <w:pPr>
              <w:spacing w:after="0" w:line="360" w:lineRule="auto"/>
              <w:rPr>
                <w:rFonts w:eastAsia="Times New Roman" w:cs="Times New Roman"/>
                <w:b/>
                <w:color w:val="000000"/>
                <w:sz w:val="18"/>
                <w:szCs w:val="18"/>
                <w:lang w:eastAsia="en-AU"/>
              </w:rPr>
            </w:pPr>
            <w:r w:rsidRPr="005636C0">
              <w:rPr>
                <w:rFonts w:cs="Times New Roman"/>
                <w:b/>
                <w:sz w:val="18"/>
                <w:szCs w:val="18"/>
              </w:rPr>
              <w:t>0.16</w:t>
            </w:r>
            <w:r w:rsidR="00AB2CEE">
              <w:rPr>
                <w:rFonts w:cs="Times New Roman"/>
                <w:b/>
                <w:sz w:val="18"/>
                <w:szCs w:val="18"/>
              </w:rPr>
              <w:br/>
            </w:r>
            <w:r w:rsidRPr="005636C0">
              <w:rPr>
                <w:rFonts w:cs="Times New Roman"/>
                <w:b/>
                <w:sz w:val="18"/>
                <w:szCs w:val="18"/>
              </w:rPr>
              <w:t>‡</w:t>
            </w:r>
          </w:p>
        </w:tc>
      </w:tr>
      <w:tr w:rsidR="00AB2CEE" w14:paraId="7E7E7306" w14:textId="77777777" w:rsidTr="00AB2CEE">
        <w:trPr>
          <w:gridAfter w:val="2"/>
          <w:wAfter w:w="28" w:type="pct"/>
          <w:trHeight w:val="576"/>
        </w:trPr>
        <w:tc>
          <w:tcPr>
            <w:tcW w:w="651" w:type="pct"/>
            <w:vMerge/>
            <w:tcBorders>
              <w:top w:val="single" w:sz="4" w:space="0" w:color="auto"/>
              <w:left w:val="nil"/>
              <w:bottom w:val="single" w:sz="4" w:space="0" w:color="auto"/>
              <w:right w:val="single" w:sz="4" w:space="0" w:color="auto"/>
            </w:tcBorders>
            <w:hideMark/>
          </w:tcPr>
          <w:p w14:paraId="312CCFFE" w14:textId="77777777" w:rsidR="00A755CE" w:rsidRPr="004E53C4" w:rsidRDefault="00A755CE" w:rsidP="00454C01">
            <w:pPr>
              <w:spacing w:after="0"/>
              <w:jc w:val="left"/>
              <w:rPr>
                <w:rFonts w:eastAsia="Times New Roman" w:cs="Times New Roman"/>
                <w:b/>
                <w:bCs/>
                <w:color w:val="000000"/>
                <w:sz w:val="16"/>
                <w:szCs w:val="16"/>
                <w:lang w:val="en-AU" w:eastAsia="en-AU"/>
              </w:rPr>
            </w:pPr>
          </w:p>
        </w:tc>
        <w:tc>
          <w:tcPr>
            <w:tcW w:w="652" w:type="pct"/>
            <w:tcBorders>
              <w:top w:val="nil"/>
              <w:left w:val="single" w:sz="4" w:space="0" w:color="auto"/>
              <w:bottom w:val="single" w:sz="4" w:space="0" w:color="auto"/>
              <w:right w:val="single" w:sz="4" w:space="0" w:color="auto"/>
            </w:tcBorders>
            <w:noWrap/>
            <w:hideMark/>
          </w:tcPr>
          <w:p w14:paraId="1F3420B6" w14:textId="77777777" w:rsidR="00A755CE" w:rsidRPr="004E53C4" w:rsidRDefault="00A755CE" w:rsidP="00454C01">
            <w:pPr>
              <w:spacing w:after="0" w:line="480" w:lineRule="auto"/>
              <w:jc w:val="left"/>
              <w:rPr>
                <w:rFonts w:cs="Times New Roman"/>
                <w:bCs/>
                <w:color w:val="000000"/>
                <w:sz w:val="16"/>
                <w:szCs w:val="16"/>
              </w:rPr>
            </w:pPr>
            <w:r w:rsidRPr="004E53C4">
              <w:rPr>
                <w:rFonts w:cs="Times New Roman"/>
                <w:bCs/>
                <w:color w:val="000000"/>
                <w:sz w:val="16"/>
                <w:szCs w:val="16"/>
              </w:rPr>
              <w:t>T2w-SI</w:t>
            </w:r>
          </w:p>
        </w:tc>
        <w:tc>
          <w:tcPr>
            <w:tcW w:w="487" w:type="pct"/>
            <w:gridSpan w:val="2"/>
            <w:tcBorders>
              <w:top w:val="dotted" w:sz="4" w:space="0" w:color="000000" w:themeColor="text1"/>
              <w:left w:val="single" w:sz="4" w:space="0" w:color="auto"/>
              <w:bottom w:val="dotted" w:sz="4" w:space="0" w:color="000000" w:themeColor="text1"/>
              <w:right w:val="nil"/>
            </w:tcBorders>
            <w:noWrap/>
          </w:tcPr>
          <w:p w14:paraId="2DD7AD00" w14:textId="77777777" w:rsidR="00A755CE" w:rsidRPr="004E53C4" w:rsidRDefault="00A755CE" w:rsidP="00454C01">
            <w:pPr>
              <w:spacing w:after="0" w:line="360" w:lineRule="auto"/>
              <w:jc w:val="left"/>
              <w:rPr>
                <w:rFonts w:eastAsia="Times New Roman" w:cs="Times New Roman"/>
                <w:color w:val="FFFFFF"/>
                <w:sz w:val="20"/>
                <w:szCs w:val="20"/>
                <w:lang w:eastAsia="en-AU"/>
              </w:rPr>
            </w:pPr>
          </w:p>
        </w:tc>
        <w:tc>
          <w:tcPr>
            <w:tcW w:w="405" w:type="pct"/>
            <w:tcBorders>
              <w:top w:val="dotted" w:sz="4" w:space="0" w:color="000000" w:themeColor="text1"/>
              <w:left w:val="nil"/>
              <w:bottom w:val="dotted" w:sz="4" w:space="0" w:color="000000" w:themeColor="text1"/>
              <w:right w:val="nil"/>
            </w:tcBorders>
            <w:noWrap/>
          </w:tcPr>
          <w:p w14:paraId="4614AC65" w14:textId="77777777" w:rsidR="00A755CE" w:rsidRPr="005636C0" w:rsidRDefault="00A755CE" w:rsidP="00454C01">
            <w:pPr>
              <w:spacing w:after="0" w:line="360" w:lineRule="auto"/>
              <w:rPr>
                <w:rFonts w:eastAsia="Times New Roman" w:cs="Times New Roman"/>
                <w:b/>
                <w:color w:val="FFFFFF"/>
                <w:sz w:val="18"/>
                <w:szCs w:val="18"/>
                <w:lang w:eastAsia="en-AU"/>
              </w:rPr>
            </w:pPr>
          </w:p>
        </w:tc>
        <w:tc>
          <w:tcPr>
            <w:tcW w:w="323" w:type="pct"/>
            <w:tcBorders>
              <w:top w:val="dotted" w:sz="4" w:space="0" w:color="000000" w:themeColor="text1"/>
              <w:left w:val="nil"/>
              <w:bottom w:val="dotted" w:sz="4" w:space="0" w:color="000000" w:themeColor="text1"/>
              <w:right w:val="nil"/>
            </w:tcBorders>
            <w:shd w:val="clear" w:color="auto" w:fill="000000" w:themeFill="text1"/>
            <w:noWrap/>
          </w:tcPr>
          <w:p w14:paraId="22267EE7" w14:textId="77777777" w:rsidR="00A755CE" w:rsidRPr="005636C0" w:rsidRDefault="00A755CE" w:rsidP="00454C01">
            <w:pPr>
              <w:spacing w:after="0" w:line="360" w:lineRule="auto"/>
              <w:rPr>
                <w:rFonts w:eastAsia="Times New Roman" w:cs="Times New Roman"/>
                <w:b/>
                <w:color w:val="000000"/>
                <w:sz w:val="18"/>
                <w:szCs w:val="18"/>
                <w:lang w:eastAsia="en-AU"/>
              </w:rPr>
            </w:pPr>
          </w:p>
        </w:tc>
        <w:tc>
          <w:tcPr>
            <w:tcW w:w="481" w:type="pct"/>
            <w:gridSpan w:val="2"/>
            <w:tcBorders>
              <w:top w:val="dotted" w:sz="4" w:space="0" w:color="000000" w:themeColor="text1"/>
              <w:left w:val="nil"/>
              <w:bottom w:val="dotted" w:sz="4" w:space="0" w:color="000000" w:themeColor="text1"/>
              <w:right w:val="nil"/>
            </w:tcBorders>
            <w:noWrap/>
            <w:hideMark/>
          </w:tcPr>
          <w:p w14:paraId="39DF2016" w14:textId="781735F3" w:rsidR="00A755CE" w:rsidRPr="005636C0" w:rsidRDefault="00A755CE" w:rsidP="00454C01">
            <w:pPr>
              <w:spacing w:after="0" w:line="360" w:lineRule="auto"/>
              <w:rPr>
                <w:rFonts w:eastAsia="Times New Roman" w:cs="Times New Roman"/>
                <w:b/>
                <w:color w:val="000000"/>
                <w:sz w:val="18"/>
                <w:szCs w:val="18"/>
                <w:lang w:eastAsia="en-AU"/>
              </w:rPr>
            </w:pPr>
            <w:r w:rsidRPr="005636C0">
              <w:rPr>
                <w:rFonts w:cs="Times New Roman"/>
                <w:b/>
                <w:sz w:val="18"/>
                <w:szCs w:val="18"/>
              </w:rPr>
              <w:t>0.56</w:t>
            </w:r>
            <w:r w:rsidR="00AB2CEE">
              <w:rPr>
                <w:rFonts w:cs="Times New Roman"/>
                <w:b/>
                <w:sz w:val="18"/>
                <w:szCs w:val="18"/>
              </w:rPr>
              <w:br/>
            </w:r>
            <w:r w:rsidRPr="005636C0">
              <w:rPr>
                <w:rFonts w:cs="Times New Roman"/>
                <w:b/>
                <w:sz w:val="18"/>
                <w:szCs w:val="18"/>
              </w:rPr>
              <w:t>‡</w:t>
            </w:r>
          </w:p>
        </w:tc>
        <w:tc>
          <w:tcPr>
            <w:tcW w:w="384" w:type="pct"/>
            <w:tcBorders>
              <w:top w:val="dotted" w:sz="4" w:space="0" w:color="000000" w:themeColor="text1"/>
              <w:left w:val="nil"/>
              <w:bottom w:val="dotted" w:sz="4" w:space="0" w:color="000000" w:themeColor="text1"/>
              <w:right w:val="nil"/>
            </w:tcBorders>
            <w:noWrap/>
            <w:hideMark/>
          </w:tcPr>
          <w:p w14:paraId="3FDEC05D" w14:textId="6CF0ACED" w:rsidR="00A755CE" w:rsidRPr="005636C0" w:rsidRDefault="00A755CE" w:rsidP="00454C01">
            <w:pPr>
              <w:spacing w:after="0" w:line="360" w:lineRule="auto"/>
              <w:rPr>
                <w:rFonts w:eastAsia="Times New Roman" w:cs="Times New Roman"/>
                <w:b/>
                <w:color w:val="000000"/>
                <w:sz w:val="18"/>
                <w:szCs w:val="18"/>
                <w:lang w:eastAsia="en-AU"/>
              </w:rPr>
            </w:pPr>
            <w:r w:rsidRPr="005636C0">
              <w:rPr>
                <w:rFonts w:cs="Times New Roman"/>
                <w:b/>
                <w:sz w:val="18"/>
                <w:szCs w:val="18"/>
              </w:rPr>
              <w:t>0.29</w:t>
            </w:r>
            <w:r w:rsidR="00AB2CEE">
              <w:rPr>
                <w:rFonts w:cs="Times New Roman"/>
                <w:b/>
                <w:sz w:val="18"/>
                <w:szCs w:val="18"/>
              </w:rPr>
              <w:br/>
            </w:r>
            <w:r w:rsidRPr="005636C0">
              <w:rPr>
                <w:rFonts w:cs="Times New Roman"/>
                <w:b/>
                <w:sz w:val="18"/>
                <w:szCs w:val="18"/>
              </w:rPr>
              <w:t>‡</w:t>
            </w:r>
          </w:p>
        </w:tc>
        <w:tc>
          <w:tcPr>
            <w:tcW w:w="384" w:type="pct"/>
            <w:tcBorders>
              <w:top w:val="dotted" w:sz="4" w:space="0" w:color="000000" w:themeColor="text1"/>
              <w:left w:val="nil"/>
              <w:bottom w:val="dotted" w:sz="4" w:space="0" w:color="000000" w:themeColor="text1"/>
              <w:right w:val="nil"/>
            </w:tcBorders>
            <w:noWrap/>
            <w:hideMark/>
          </w:tcPr>
          <w:p w14:paraId="5F86777D" w14:textId="792C5E3C" w:rsidR="00A755CE" w:rsidRPr="005636C0" w:rsidRDefault="00A755CE" w:rsidP="00454C01">
            <w:pPr>
              <w:spacing w:after="0" w:line="360" w:lineRule="auto"/>
              <w:rPr>
                <w:rFonts w:eastAsia="Times New Roman" w:cs="Times New Roman"/>
                <w:b/>
                <w:color w:val="000000"/>
                <w:sz w:val="18"/>
                <w:szCs w:val="18"/>
                <w:lang w:eastAsia="en-AU"/>
              </w:rPr>
            </w:pPr>
            <w:r w:rsidRPr="005636C0">
              <w:rPr>
                <w:rFonts w:cs="Times New Roman"/>
                <w:b/>
                <w:sz w:val="18"/>
                <w:szCs w:val="18"/>
              </w:rPr>
              <w:t>0.92</w:t>
            </w:r>
            <w:r w:rsidR="00AB2CEE">
              <w:rPr>
                <w:rFonts w:cs="Times New Roman"/>
                <w:b/>
                <w:sz w:val="18"/>
                <w:szCs w:val="18"/>
              </w:rPr>
              <w:br/>
            </w:r>
            <w:r w:rsidRPr="005636C0">
              <w:rPr>
                <w:rFonts w:cs="Times New Roman"/>
                <w:b/>
                <w:sz w:val="18"/>
                <w:szCs w:val="18"/>
              </w:rPr>
              <w:t>‡</w:t>
            </w:r>
          </w:p>
        </w:tc>
        <w:tc>
          <w:tcPr>
            <w:tcW w:w="467" w:type="pct"/>
            <w:gridSpan w:val="2"/>
            <w:tcBorders>
              <w:top w:val="dotted" w:sz="4" w:space="0" w:color="000000" w:themeColor="text1"/>
              <w:left w:val="nil"/>
              <w:bottom w:val="dotted" w:sz="4" w:space="0" w:color="000000" w:themeColor="text1"/>
              <w:right w:val="nil"/>
            </w:tcBorders>
            <w:noWrap/>
            <w:hideMark/>
          </w:tcPr>
          <w:p w14:paraId="44A2F018" w14:textId="4B383B73" w:rsidR="00A755CE" w:rsidRPr="005636C0" w:rsidRDefault="00A755CE" w:rsidP="00454C01">
            <w:pPr>
              <w:spacing w:after="0" w:line="360" w:lineRule="auto"/>
              <w:rPr>
                <w:rFonts w:eastAsia="Times New Roman" w:cs="Times New Roman"/>
                <w:b/>
                <w:color w:val="000000"/>
                <w:sz w:val="18"/>
                <w:szCs w:val="18"/>
                <w:lang w:eastAsia="en-AU"/>
              </w:rPr>
            </w:pPr>
            <w:r w:rsidRPr="005636C0">
              <w:rPr>
                <w:rFonts w:cs="Times New Roman"/>
                <w:b/>
                <w:sz w:val="18"/>
                <w:szCs w:val="18"/>
              </w:rPr>
              <w:t>0.56</w:t>
            </w:r>
            <w:r w:rsidR="00AB2CEE">
              <w:rPr>
                <w:rFonts w:cs="Times New Roman"/>
                <w:b/>
                <w:sz w:val="18"/>
                <w:szCs w:val="18"/>
              </w:rPr>
              <w:br/>
            </w:r>
            <w:r w:rsidRPr="005636C0">
              <w:rPr>
                <w:rFonts w:cs="Times New Roman"/>
                <w:b/>
                <w:sz w:val="18"/>
                <w:szCs w:val="18"/>
              </w:rPr>
              <w:t>‡</w:t>
            </w:r>
          </w:p>
        </w:tc>
        <w:tc>
          <w:tcPr>
            <w:tcW w:w="385" w:type="pct"/>
            <w:tcBorders>
              <w:top w:val="dotted" w:sz="4" w:space="0" w:color="000000" w:themeColor="text1"/>
              <w:left w:val="nil"/>
              <w:bottom w:val="dotted" w:sz="4" w:space="0" w:color="000000" w:themeColor="text1"/>
              <w:right w:val="nil"/>
            </w:tcBorders>
            <w:noWrap/>
            <w:hideMark/>
          </w:tcPr>
          <w:p w14:paraId="39E1A1F6" w14:textId="105AD9FC" w:rsidR="00A755CE" w:rsidRPr="005636C0" w:rsidRDefault="00A755CE" w:rsidP="00454C01">
            <w:pPr>
              <w:spacing w:after="0" w:line="360" w:lineRule="auto"/>
              <w:rPr>
                <w:rFonts w:eastAsia="Times New Roman" w:cs="Times New Roman"/>
                <w:b/>
                <w:color w:val="000000"/>
                <w:sz w:val="18"/>
                <w:szCs w:val="18"/>
                <w:lang w:eastAsia="en-AU"/>
              </w:rPr>
            </w:pPr>
            <w:r w:rsidRPr="005636C0">
              <w:rPr>
                <w:rFonts w:cs="Times New Roman"/>
                <w:b/>
                <w:sz w:val="18"/>
                <w:szCs w:val="18"/>
              </w:rPr>
              <w:t>0.16</w:t>
            </w:r>
            <w:r w:rsidR="00AB2CEE">
              <w:rPr>
                <w:rFonts w:cs="Times New Roman"/>
                <w:b/>
                <w:sz w:val="18"/>
                <w:szCs w:val="18"/>
              </w:rPr>
              <w:br/>
            </w:r>
            <w:r w:rsidRPr="005636C0">
              <w:rPr>
                <w:rFonts w:cs="Times New Roman"/>
                <w:b/>
                <w:sz w:val="18"/>
                <w:szCs w:val="18"/>
              </w:rPr>
              <w:t>‡</w:t>
            </w:r>
          </w:p>
        </w:tc>
        <w:tc>
          <w:tcPr>
            <w:tcW w:w="354" w:type="pct"/>
            <w:tcBorders>
              <w:top w:val="dotted" w:sz="4" w:space="0" w:color="000000" w:themeColor="text1"/>
              <w:left w:val="nil"/>
              <w:bottom w:val="dotted" w:sz="4" w:space="0" w:color="000000" w:themeColor="text1"/>
              <w:right w:val="nil"/>
            </w:tcBorders>
            <w:noWrap/>
            <w:hideMark/>
          </w:tcPr>
          <w:p w14:paraId="200F1AA8" w14:textId="129AE978" w:rsidR="00A755CE" w:rsidRPr="005636C0" w:rsidRDefault="00A755CE" w:rsidP="00454C01">
            <w:pPr>
              <w:spacing w:after="0" w:line="360" w:lineRule="auto"/>
              <w:rPr>
                <w:rFonts w:eastAsia="Times New Roman" w:cs="Times New Roman"/>
                <w:b/>
                <w:color w:val="000000"/>
                <w:sz w:val="18"/>
                <w:szCs w:val="18"/>
                <w:lang w:eastAsia="en-AU"/>
              </w:rPr>
            </w:pPr>
            <w:r w:rsidRPr="005636C0">
              <w:rPr>
                <w:rFonts w:cs="Times New Roman"/>
                <w:b/>
                <w:sz w:val="18"/>
                <w:szCs w:val="18"/>
              </w:rPr>
              <w:t>0.49</w:t>
            </w:r>
            <w:r w:rsidR="00AB2CEE">
              <w:rPr>
                <w:rFonts w:cs="Times New Roman"/>
                <w:b/>
                <w:sz w:val="18"/>
                <w:szCs w:val="18"/>
              </w:rPr>
              <w:br/>
            </w:r>
            <w:r w:rsidRPr="005636C0">
              <w:rPr>
                <w:rFonts w:cs="Times New Roman"/>
                <w:b/>
                <w:sz w:val="18"/>
                <w:szCs w:val="18"/>
              </w:rPr>
              <w:t>‡</w:t>
            </w:r>
          </w:p>
        </w:tc>
      </w:tr>
      <w:tr w:rsidR="00AB2CEE" w14:paraId="62DF233E" w14:textId="77777777" w:rsidTr="00AB2CEE">
        <w:trPr>
          <w:gridAfter w:val="2"/>
          <w:wAfter w:w="28" w:type="pct"/>
          <w:trHeight w:val="576"/>
        </w:trPr>
        <w:tc>
          <w:tcPr>
            <w:tcW w:w="651" w:type="pct"/>
            <w:vMerge w:val="restart"/>
            <w:tcBorders>
              <w:top w:val="single" w:sz="4" w:space="0" w:color="auto"/>
              <w:left w:val="nil"/>
              <w:bottom w:val="single" w:sz="4" w:space="0" w:color="auto"/>
              <w:right w:val="single" w:sz="4" w:space="0" w:color="auto"/>
            </w:tcBorders>
            <w:hideMark/>
          </w:tcPr>
          <w:p w14:paraId="540F9EC5" w14:textId="77777777" w:rsidR="00A755CE" w:rsidRPr="004E53C4" w:rsidRDefault="00A755CE" w:rsidP="00454C01">
            <w:pPr>
              <w:spacing w:after="0" w:line="360" w:lineRule="auto"/>
              <w:jc w:val="left"/>
              <w:rPr>
                <w:rFonts w:eastAsia="Times New Roman" w:cs="Times New Roman"/>
                <w:b/>
                <w:bCs/>
                <w:color w:val="000000"/>
                <w:sz w:val="16"/>
                <w:szCs w:val="16"/>
                <w:lang w:eastAsia="en-AU"/>
              </w:rPr>
            </w:pPr>
            <w:r w:rsidRPr="004E53C4">
              <w:rPr>
                <w:rFonts w:cs="Times New Roman"/>
                <w:b/>
                <w:bCs/>
                <w:color w:val="000000"/>
                <w:sz w:val="16"/>
                <w:szCs w:val="16"/>
              </w:rPr>
              <w:t>Central IVD</w:t>
            </w:r>
          </w:p>
        </w:tc>
        <w:tc>
          <w:tcPr>
            <w:tcW w:w="652" w:type="pct"/>
            <w:tcBorders>
              <w:top w:val="single" w:sz="4" w:space="0" w:color="auto"/>
              <w:left w:val="single" w:sz="4" w:space="0" w:color="auto"/>
              <w:bottom w:val="nil"/>
              <w:right w:val="single" w:sz="4" w:space="0" w:color="auto"/>
            </w:tcBorders>
            <w:noWrap/>
            <w:hideMark/>
          </w:tcPr>
          <w:p w14:paraId="764AD37D" w14:textId="77777777" w:rsidR="00A755CE" w:rsidRPr="004E53C4" w:rsidRDefault="00A755CE" w:rsidP="00454C01">
            <w:pPr>
              <w:spacing w:after="0" w:line="480" w:lineRule="auto"/>
              <w:jc w:val="left"/>
              <w:rPr>
                <w:rFonts w:cs="Times New Roman"/>
                <w:bCs/>
                <w:color w:val="000000"/>
                <w:sz w:val="16"/>
                <w:szCs w:val="16"/>
              </w:rPr>
            </w:pPr>
            <w:r w:rsidRPr="004E53C4">
              <w:rPr>
                <w:rFonts w:cs="Times New Roman"/>
                <w:bCs/>
                <w:color w:val="000000"/>
                <w:sz w:val="16"/>
                <w:szCs w:val="16"/>
              </w:rPr>
              <w:t>T2-mapping</w:t>
            </w:r>
          </w:p>
        </w:tc>
        <w:tc>
          <w:tcPr>
            <w:tcW w:w="487" w:type="pct"/>
            <w:gridSpan w:val="2"/>
            <w:tcBorders>
              <w:top w:val="dotted" w:sz="4" w:space="0" w:color="000000" w:themeColor="text1"/>
              <w:left w:val="single" w:sz="4" w:space="0" w:color="auto"/>
              <w:bottom w:val="dotted" w:sz="4" w:space="0" w:color="000000" w:themeColor="text1"/>
              <w:right w:val="nil"/>
            </w:tcBorders>
            <w:noWrap/>
          </w:tcPr>
          <w:p w14:paraId="2FA06024" w14:textId="77777777" w:rsidR="00A755CE" w:rsidRPr="004E53C4" w:rsidRDefault="00A755CE" w:rsidP="00454C01">
            <w:pPr>
              <w:spacing w:after="0" w:line="360" w:lineRule="auto"/>
              <w:jc w:val="left"/>
              <w:rPr>
                <w:rFonts w:eastAsia="Times New Roman" w:cs="Times New Roman"/>
                <w:color w:val="FFFFFF"/>
                <w:sz w:val="20"/>
                <w:szCs w:val="20"/>
                <w:lang w:eastAsia="en-AU"/>
              </w:rPr>
            </w:pPr>
          </w:p>
        </w:tc>
        <w:tc>
          <w:tcPr>
            <w:tcW w:w="405" w:type="pct"/>
            <w:tcBorders>
              <w:top w:val="dotted" w:sz="4" w:space="0" w:color="000000" w:themeColor="text1"/>
              <w:left w:val="nil"/>
              <w:bottom w:val="dotted" w:sz="4" w:space="0" w:color="000000" w:themeColor="text1"/>
              <w:right w:val="nil"/>
            </w:tcBorders>
            <w:noWrap/>
          </w:tcPr>
          <w:p w14:paraId="36951720" w14:textId="77777777" w:rsidR="00A755CE" w:rsidRPr="005636C0" w:rsidRDefault="00A755CE" w:rsidP="00454C01">
            <w:pPr>
              <w:spacing w:after="0" w:line="360" w:lineRule="auto"/>
              <w:rPr>
                <w:rFonts w:eastAsia="Times New Roman" w:cs="Times New Roman"/>
                <w:b/>
                <w:color w:val="FFFFFF"/>
                <w:sz w:val="18"/>
                <w:szCs w:val="18"/>
                <w:lang w:eastAsia="en-AU"/>
              </w:rPr>
            </w:pPr>
          </w:p>
        </w:tc>
        <w:tc>
          <w:tcPr>
            <w:tcW w:w="323" w:type="pct"/>
            <w:tcBorders>
              <w:top w:val="dotted" w:sz="4" w:space="0" w:color="000000" w:themeColor="text1"/>
              <w:left w:val="nil"/>
              <w:bottom w:val="dotted" w:sz="4" w:space="0" w:color="000000" w:themeColor="text1"/>
              <w:right w:val="nil"/>
            </w:tcBorders>
            <w:noWrap/>
          </w:tcPr>
          <w:p w14:paraId="10A4FC7F" w14:textId="77777777" w:rsidR="00A755CE" w:rsidRPr="005636C0" w:rsidRDefault="00A755CE" w:rsidP="00454C01">
            <w:pPr>
              <w:spacing w:after="0" w:line="360" w:lineRule="auto"/>
              <w:rPr>
                <w:rFonts w:eastAsia="Times New Roman" w:cs="Times New Roman"/>
                <w:b/>
                <w:color w:val="FFFFFF"/>
                <w:sz w:val="18"/>
                <w:szCs w:val="18"/>
                <w:lang w:eastAsia="en-AU"/>
              </w:rPr>
            </w:pPr>
          </w:p>
        </w:tc>
        <w:tc>
          <w:tcPr>
            <w:tcW w:w="481" w:type="pct"/>
            <w:gridSpan w:val="2"/>
            <w:tcBorders>
              <w:top w:val="dotted" w:sz="4" w:space="0" w:color="000000" w:themeColor="text1"/>
              <w:left w:val="nil"/>
              <w:bottom w:val="dotted" w:sz="4" w:space="0" w:color="000000" w:themeColor="text1"/>
              <w:right w:val="nil"/>
            </w:tcBorders>
            <w:shd w:val="clear" w:color="auto" w:fill="000000" w:themeFill="text1"/>
            <w:noWrap/>
          </w:tcPr>
          <w:p w14:paraId="24774DC2" w14:textId="77777777" w:rsidR="00A755CE" w:rsidRPr="005636C0" w:rsidRDefault="00A755CE" w:rsidP="00454C01">
            <w:pPr>
              <w:spacing w:after="0" w:line="360" w:lineRule="auto"/>
              <w:rPr>
                <w:rFonts w:eastAsia="Times New Roman" w:cs="Times New Roman"/>
                <w:b/>
                <w:color w:val="000000"/>
                <w:sz w:val="18"/>
                <w:szCs w:val="18"/>
                <w:lang w:eastAsia="en-AU"/>
              </w:rPr>
            </w:pPr>
          </w:p>
        </w:tc>
        <w:tc>
          <w:tcPr>
            <w:tcW w:w="384" w:type="pct"/>
            <w:tcBorders>
              <w:top w:val="dotted" w:sz="4" w:space="0" w:color="000000" w:themeColor="text1"/>
              <w:left w:val="nil"/>
              <w:bottom w:val="dotted" w:sz="4" w:space="0" w:color="000000" w:themeColor="text1"/>
              <w:right w:val="nil"/>
            </w:tcBorders>
            <w:noWrap/>
            <w:hideMark/>
          </w:tcPr>
          <w:p w14:paraId="0FEED91B" w14:textId="130D5EAC" w:rsidR="00A755CE" w:rsidRPr="005636C0" w:rsidRDefault="00A755CE" w:rsidP="00454C01">
            <w:pPr>
              <w:spacing w:after="0" w:line="360" w:lineRule="auto"/>
              <w:rPr>
                <w:rFonts w:eastAsia="Times New Roman" w:cs="Times New Roman"/>
                <w:b/>
                <w:color w:val="000000"/>
                <w:sz w:val="18"/>
                <w:szCs w:val="18"/>
                <w:lang w:eastAsia="en-AU"/>
              </w:rPr>
            </w:pPr>
            <w:r w:rsidRPr="005636C0">
              <w:rPr>
                <w:rFonts w:eastAsia="Times New Roman" w:cs="Times New Roman"/>
                <w:b/>
                <w:color w:val="000000"/>
                <w:sz w:val="18"/>
                <w:szCs w:val="18"/>
                <w:lang w:eastAsia="en-AU"/>
              </w:rPr>
              <w:t>0.13</w:t>
            </w:r>
            <w:r w:rsidR="00AB2CEE">
              <w:rPr>
                <w:rFonts w:eastAsia="Times New Roman" w:cs="Times New Roman"/>
                <w:b/>
                <w:color w:val="000000"/>
                <w:sz w:val="18"/>
                <w:szCs w:val="18"/>
                <w:lang w:eastAsia="en-AU"/>
              </w:rPr>
              <w:br/>
            </w:r>
            <w:r w:rsidRPr="005636C0">
              <w:rPr>
                <w:rFonts w:eastAsia="Times New Roman" w:cs="Times New Roman"/>
                <w:b/>
                <w:color w:val="000000"/>
                <w:sz w:val="18"/>
                <w:szCs w:val="18"/>
                <w:lang w:eastAsia="en-AU"/>
              </w:rPr>
              <w:t>†</w:t>
            </w:r>
          </w:p>
        </w:tc>
        <w:tc>
          <w:tcPr>
            <w:tcW w:w="384" w:type="pct"/>
            <w:tcBorders>
              <w:top w:val="dotted" w:sz="4" w:space="0" w:color="000000" w:themeColor="text1"/>
              <w:left w:val="nil"/>
              <w:bottom w:val="dotted" w:sz="4" w:space="0" w:color="000000" w:themeColor="text1"/>
              <w:right w:val="nil"/>
            </w:tcBorders>
            <w:noWrap/>
            <w:hideMark/>
          </w:tcPr>
          <w:p w14:paraId="590B9B2D" w14:textId="30C7D856" w:rsidR="00A755CE" w:rsidRPr="005636C0" w:rsidRDefault="00A755CE" w:rsidP="00454C01">
            <w:pPr>
              <w:spacing w:after="0" w:line="360" w:lineRule="auto"/>
              <w:rPr>
                <w:rFonts w:eastAsia="Times New Roman" w:cs="Times New Roman"/>
                <w:b/>
                <w:color w:val="000000"/>
                <w:sz w:val="18"/>
                <w:szCs w:val="18"/>
                <w:lang w:eastAsia="en-AU"/>
              </w:rPr>
            </w:pPr>
            <w:r w:rsidRPr="005636C0">
              <w:rPr>
                <w:rFonts w:cs="Times New Roman"/>
                <w:b/>
                <w:sz w:val="18"/>
                <w:szCs w:val="18"/>
              </w:rPr>
              <w:t>0.61</w:t>
            </w:r>
            <w:r w:rsidR="00AB2CEE">
              <w:rPr>
                <w:rFonts w:cs="Times New Roman"/>
                <w:b/>
                <w:sz w:val="18"/>
                <w:szCs w:val="18"/>
              </w:rPr>
              <w:br/>
            </w:r>
            <w:r w:rsidRPr="005636C0">
              <w:rPr>
                <w:rFonts w:cs="Times New Roman"/>
                <w:b/>
                <w:sz w:val="18"/>
                <w:szCs w:val="18"/>
              </w:rPr>
              <w:t>‡</w:t>
            </w:r>
          </w:p>
        </w:tc>
        <w:tc>
          <w:tcPr>
            <w:tcW w:w="467" w:type="pct"/>
            <w:gridSpan w:val="2"/>
            <w:tcBorders>
              <w:top w:val="dotted" w:sz="4" w:space="0" w:color="000000" w:themeColor="text1"/>
              <w:left w:val="nil"/>
              <w:bottom w:val="dotted" w:sz="4" w:space="0" w:color="000000" w:themeColor="text1"/>
              <w:right w:val="nil"/>
            </w:tcBorders>
            <w:noWrap/>
            <w:hideMark/>
          </w:tcPr>
          <w:p w14:paraId="2D4CFA4B" w14:textId="66EB20DB" w:rsidR="00A755CE" w:rsidRPr="005636C0" w:rsidRDefault="00A755CE" w:rsidP="00454C01">
            <w:pPr>
              <w:spacing w:after="0" w:line="360" w:lineRule="auto"/>
              <w:rPr>
                <w:rFonts w:eastAsia="Times New Roman" w:cs="Times New Roman"/>
                <w:b/>
                <w:color w:val="000000"/>
                <w:sz w:val="18"/>
                <w:szCs w:val="18"/>
                <w:lang w:eastAsia="en-AU"/>
              </w:rPr>
            </w:pPr>
            <w:r w:rsidRPr="005636C0">
              <w:rPr>
                <w:rFonts w:eastAsia="Times New Roman" w:cs="Times New Roman"/>
                <w:b/>
                <w:color w:val="000000"/>
                <w:sz w:val="18"/>
                <w:szCs w:val="18"/>
                <w:lang w:eastAsia="en-AU"/>
              </w:rPr>
              <w:t>0.69</w:t>
            </w:r>
            <w:r w:rsidR="00AB2CEE">
              <w:rPr>
                <w:rFonts w:eastAsia="Times New Roman" w:cs="Times New Roman"/>
                <w:b/>
                <w:color w:val="000000"/>
                <w:sz w:val="18"/>
                <w:szCs w:val="18"/>
                <w:lang w:eastAsia="en-AU"/>
              </w:rPr>
              <w:br/>
            </w:r>
            <w:r w:rsidRPr="005636C0">
              <w:rPr>
                <w:rFonts w:eastAsia="Times New Roman" w:cs="Times New Roman"/>
                <w:b/>
                <w:color w:val="000000"/>
                <w:sz w:val="18"/>
                <w:szCs w:val="18"/>
                <w:lang w:eastAsia="en-AU"/>
              </w:rPr>
              <w:t>‡</w:t>
            </w:r>
          </w:p>
        </w:tc>
        <w:tc>
          <w:tcPr>
            <w:tcW w:w="385" w:type="pct"/>
            <w:tcBorders>
              <w:top w:val="dotted" w:sz="4" w:space="0" w:color="000000" w:themeColor="text1"/>
              <w:left w:val="nil"/>
              <w:bottom w:val="dotted" w:sz="4" w:space="0" w:color="000000" w:themeColor="text1"/>
              <w:right w:val="nil"/>
            </w:tcBorders>
            <w:noWrap/>
            <w:hideMark/>
          </w:tcPr>
          <w:p w14:paraId="7D2AED21" w14:textId="5EE0B868" w:rsidR="00A755CE" w:rsidRPr="005636C0" w:rsidRDefault="00A755CE" w:rsidP="00454C01">
            <w:pPr>
              <w:spacing w:after="0" w:line="360" w:lineRule="auto"/>
              <w:rPr>
                <w:rFonts w:eastAsia="Times New Roman" w:cs="Times New Roman"/>
                <w:color w:val="000000"/>
                <w:sz w:val="18"/>
                <w:szCs w:val="18"/>
                <w:lang w:eastAsia="en-AU"/>
              </w:rPr>
            </w:pPr>
            <w:r w:rsidRPr="005636C0">
              <w:rPr>
                <w:rFonts w:cs="Times New Roman"/>
                <w:sz w:val="18"/>
                <w:szCs w:val="18"/>
              </w:rPr>
              <w:t>0.03</w:t>
            </w:r>
            <w:r w:rsidR="00AB2CEE">
              <w:rPr>
                <w:rFonts w:cs="Times New Roman"/>
                <w:sz w:val="18"/>
                <w:szCs w:val="18"/>
              </w:rPr>
              <w:br/>
            </w:r>
          </w:p>
        </w:tc>
        <w:tc>
          <w:tcPr>
            <w:tcW w:w="354" w:type="pct"/>
            <w:tcBorders>
              <w:top w:val="dotted" w:sz="4" w:space="0" w:color="000000" w:themeColor="text1"/>
              <w:left w:val="nil"/>
              <w:bottom w:val="dotted" w:sz="4" w:space="0" w:color="000000" w:themeColor="text1"/>
              <w:right w:val="nil"/>
            </w:tcBorders>
            <w:noWrap/>
            <w:hideMark/>
          </w:tcPr>
          <w:p w14:paraId="72D7FBAD" w14:textId="032D6AE6" w:rsidR="00A755CE" w:rsidRPr="005636C0" w:rsidRDefault="00A755CE" w:rsidP="00454C01">
            <w:pPr>
              <w:spacing w:after="0" w:line="360" w:lineRule="auto"/>
              <w:rPr>
                <w:rFonts w:eastAsia="Times New Roman" w:cs="Times New Roman"/>
                <w:b/>
                <w:color w:val="000000"/>
                <w:sz w:val="18"/>
                <w:szCs w:val="18"/>
                <w:lang w:eastAsia="en-AU"/>
              </w:rPr>
            </w:pPr>
            <w:r w:rsidRPr="005636C0">
              <w:rPr>
                <w:rFonts w:cs="Times New Roman"/>
                <w:b/>
                <w:sz w:val="18"/>
                <w:szCs w:val="18"/>
              </w:rPr>
              <w:t>0.41</w:t>
            </w:r>
            <w:r w:rsidR="00AB2CEE">
              <w:rPr>
                <w:rFonts w:cs="Times New Roman"/>
                <w:b/>
                <w:sz w:val="18"/>
                <w:szCs w:val="18"/>
              </w:rPr>
              <w:br/>
            </w:r>
            <w:r w:rsidRPr="005636C0">
              <w:rPr>
                <w:rFonts w:cs="Times New Roman"/>
                <w:b/>
                <w:sz w:val="18"/>
                <w:szCs w:val="18"/>
              </w:rPr>
              <w:t>‡</w:t>
            </w:r>
          </w:p>
        </w:tc>
      </w:tr>
      <w:tr w:rsidR="00AB2CEE" w14:paraId="1C704EF7" w14:textId="77777777" w:rsidTr="00AB2CEE">
        <w:trPr>
          <w:gridAfter w:val="2"/>
          <w:wAfter w:w="28" w:type="pct"/>
          <w:trHeight w:val="576"/>
        </w:trPr>
        <w:tc>
          <w:tcPr>
            <w:tcW w:w="651" w:type="pct"/>
            <w:vMerge/>
            <w:tcBorders>
              <w:top w:val="single" w:sz="4" w:space="0" w:color="auto"/>
              <w:left w:val="nil"/>
              <w:bottom w:val="single" w:sz="4" w:space="0" w:color="auto"/>
              <w:right w:val="single" w:sz="4" w:space="0" w:color="auto"/>
            </w:tcBorders>
            <w:hideMark/>
          </w:tcPr>
          <w:p w14:paraId="2557E40E" w14:textId="77777777" w:rsidR="00A755CE" w:rsidRPr="004E53C4" w:rsidRDefault="00A755CE" w:rsidP="00454C01">
            <w:pPr>
              <w:spacing w:after="0"/>
              <w:jc w:val="left"/>
              <w:rPr>
                <w:rFonts w:eastAsia="Times New Roman" w:cs="Times New Roman"/>
                <w:b/>
                <w:bCs/>
                <w:color w:val="000000"/>
                <w:sz w:val="16"/>
                <w:szCs w:val="16"/>
                <w:lang w:val="en-AU" w:eastAsia="en-AU"/>
              </w:rPr>
            </w:pPr>
          </w:p>
        </w:tc>
        <w:tc>
          <w:tcPr>
            <w:tcW w:w="652" w:type="pct"/>
            <w:tcBorders>
              <w:top w:val="nil"/>
              <w:left w:val="single" w:sz="4" w:space="0" w:color="auto"/>
              <w:bottom w:val="nil"/>
              <w:right w:val="single" w:sz="4" w:space="0" w:color="auto"/>
            </w:tcBorders>
            <w:noWrap/>
            <w:hideMark/>
          </w:tcPr>
          <w:p w14:paraId="37D4C175" w14:textId="77777777" w:rsidR="00A755CE" w:rsidRPr="004E53C4" w:rsidRDefault="00A755CE" w:rsidP="00454C01">
            <w:pPr>
              <w:spacing w:after="0" w:line="480" w:lineRule="auto"/>
              <w:jc w:val="left"/>
              <w:rPr>
                <w:rFonts w:cs="Times New Roman"/>
                <w:bCs/>
                <w:color w:val="000000"/>
                <w:sz w:val="16"/>
                <w:szCs w:val="16"/>
              </w:rPr>
            </w:pPr>
            <w:r w:rsidRPr="004E53C4">
              <w:rPr>
                <w:rFonts w:cs="Times New Roman"/>
                <w:bCs/>
                <w:color w:val="000000"/>
                <w:sz w:val="16"/>
                <w:szCs w:val="16"/>
              </w:rPr>
              <w:t>D</w:t>
            </w:r>
            <w:r>
              <w:rPr>
                <w:rFonts w:cs="Times New Roman"/>
                <w:bCs/>
                <w:color w:val="000000"/>
                <w:sz w:val="16"/>
                <w:szCs w:val="16"/>
              </w:rPr>
              <w:t>ixon</w:t>
            </w:r>
          </w:p>
        </w:tc>
        <w:tc>
          <w:tcPr>
            <w:tcW w:w="487" w:type="pct"/>
            <w:gridSpan w:val="2"/>
            <w:tcBorders>
              <w:top w:val="dotted" w:sz="4" w:space="0" w:color="000000" w:themeColor="text1"/>
              <w:left w:val="single" w:sz="4" w:space="0" w:color="auto"/>
              <w:bottom w:val="dotted" w:sz="4" w:space="0" w:color="000000" w:themeColor="text1"/>
              <w:right w:val="nil"/>
            </w:tcBorders>
            <w:noWrap/>
          </w:tcPr>
          <w:p w14:paraId="780E6D35" w14:textId="77777777" w:rsidR="00A755CE" w:rsidRPr="004E53C4" w:rsidRDefault="00A755CE" w:rsidP="00454C01">
            <w:pPr>
              <w:spacing w:after="0" w:line="360" w:lineRule="auto"/>
              <w:jc w:val="left"/>
              <w:rPr>
                <w:rFonts w:eastAsia="Times New Roman" w:cs="Times New Roman"/>
                <w:color w:val="FFFFFF"/>
                <w:sz w:val="20"/>
                <w:szCs w:val="20"/>
                <w:lang w:eastAsia="en-AU"/>
              </w:rPr>
            </w:pPr>
          </w:p>
        </w:tc>
        <w:tc>
          <w:tcPr>
            <w:tcW w:w="405" w:type="pct"/>
            <w:tcBorders>
              <w:top w:val="dotted" w:sz="4" w:space="0" w:color="000000" w:themeColor="text1"/>
              <w:left w:val="nil"/>
              <w:bottom w:val="dotted" w:sz="4" w:space="0" w:color="000000" w:themeColor="text1"/>
              <w:right w:val="nil"/>
            </w:tcBorders>
            <w:noWrap/>
          </w:tcPr>
          <w:p w14:paraId="5C8083F0" w14:textId="77777777" w:rsidR="00A755CE" w:rsidRPr="005636C0" w:rsidRDefault="00A755CE" w:rsidP="00454C01">
            <w:pPr>
              <w:spacing w:after="0" w:line="360" w:lineRule="auto"/>
              <w:rPr>
                <w:rFonts w:eastAsia="Times New Roman" w:cs="Times New Roman"/>
                <w:b/>
                <w:color w:val="FFFFFF"/>
                <w:sz w:val="18"/>
                <w:szCs w:val="18"/>
                <w:lang w:eastAsia="en-AU"/>
              </w:rPr>
            </w:pPr>
          </w:p>
        </w:tc>
        <w:tc>
          <w:tcPr>
            <w:tcW w:w="323" w:type="pct"/>
            <w:tcBorders>
              <w:top w:val="dotted" w:sz="4" w:space="0" w:color="000000" w:themeColor="text1"/>
              <w:left w:val="nil"/>
              <w:bottom w:val="dotted" w:sz="4" w:space="0" w:color="000000" w:themeColor="text1"/>
              <w:right w:val="nil"/>
            </w:tcBorders>
            <w:noWrap/>
          </w:tcPr>
          <w:p w14:paraId="4952676D" w14:textId="77777777" w:rsidR="00A755CE" w:rsidRPr="005636C0" w:rsidRDefault="00A755CE" w:rsidP="00454C01">
            <w:pPr>
              <w:spacing w:after="0" w:line="360" w:lineRule="auto"/>
              <w:rPr>
                <w:rFonts w:eastAsia="Times New Roman" w:cs="Times New Roman"/>
                <w:b/>
                <w:color w:val="FFFFFF"/>
                <w:sz w:val="18"/>
                <w:szCs w:val="18"/>
                <w:lang w:eastAsia="en-AU"/>
              </w:rPr>
            </w:pPr>
          </w:p>
        </w:tc>
        <w:tc>
          <w:tcPr>
            <w:tcW w:w="481" w:type="pct"/>
            <w:gridSpan w:val="2"/>
            <w:tcBorders>
              <w:top w:val="dotted" w:sz="4" w:space="0" w:color="000000" w:themeColor="text1"/>
              <w:left w:val="nil"/>
              <w:bottom w:val="dotted" w:sz="4" w:space="0" w:color="000000" w:themeColor="text1"/>
              <w:right w:val="nil"/>
            </w:tcBorders>
            <w:noWrap/>
          </w:tcPr>
          <w:p w14:paraId="7956A73F" w14:textId="77777777" w:rsidR="00A755CE" w:rsidRPr="005636C0" w:rsidRDefault="00A755CE" w:rsidP="00454C01">
            <w:pPr>
              <w:spacing w:after="0" w:line="360" w:lineRule="auto"/>
              <w:rPr>
                <w:rFonts w:eastAsia="Times New Roman" w:cs="Times New Roman"/>
                <w:b/>
                <w:color w:val="FFFFFF"/>
                <w:sz w:val="18"/>
                <w:szCs w:val="18"/>
                <w:lang w:eastAsia="en-AU"/>
              </w:rPr>
            </w:pPr>
          </w:p>
        </w:tc>
        <w:tc>
          <w:tcPr>
            <w:tcW w:w="384" w:type="pct"/>
            <w:tcBorders>
              <w:top w:val="dotted" w:sz="4" w:space="0" w:color="000000" w:themeColor="text1"/>
              <w:left w:val="nil"/>
              <w:bottom w:val="dotted" w:sz="4" w:space="0" w:color="000000" w:themeColor="text1"/>
              <w:right w:val="nil"/>
            </w:tcBorders>
            <w:shd w:val="clear" w:color="auto" w:fill="000000" w:themeFill="text1"/>
            <w:noWrap/>
          </w:tcPr>
          <w:p w14:paraId="0C5B1640" w14:textId="77777777" w:rsidR="00A755CE" w:rsidRPr="005636C0" w:rsidRDefault="00A755CE" w:rsidP="00454C01">
            <w:pPr>
              <w:spacing w:after="0" w:line="360" w:lineRule="auto"/>
              <w:rPr>
                <w:rFonts w:eastAsia="Times New Roman" w:cs="Times New Roman"/>
                <w:b/>
                <w:color w:val="000000"/>
                <w:sz w:val="18"/>
                <w:szCs w:val="18"/>
                <w:lang w:eastAsia="en-AU"/>
              </w:rPr>
            </w:pPr>
          </w:p>
        </w:tc>
        <w:tc>
          <w:tcPr>
            <w:tcW w:w="384" w:type="pct"/>
            <w:tcBorders>
              <w:top w:val="dotted" w:sz="4" w:space="0" w:color="000000" w:themeColor="text1"/>
              <w:left w:val="nil"/>
              <w:bottom w:val="dotted" w:sz="4" w:space="0" w:color="000000" w:themeColor="text1"/>
              <w:right w:val="nil"/>
            </w:tcBorders>
            <w:noWrap/>
            <w:hideMark/>
          </w:tcPr>
          <w:p w14:paraId="1D713A31" w14:textId="7F3E6C70" w:rsidR="00A755CE" w:rsidRPr="005636C0" w:rsidRDefault="00A755CE" w:rsidP="00454C01">
            <w:pPr>
              <w:spacing w:after="0" w:line="360" w:lineRule="auto"/>
              <w:rPr>
                <w:rFonts w:eastAsia="Times New Roman" w:cs="Times New Roman"/>
                <w:b/>
                <w:color w:val="000000"/>
                <w:sz w:val="18"/>
                <w:szCs w:val="18"/>
                <w:lang w:eastAsia="en-AU"/>
              </w:rPr>
            </w:pPr>
            <w:r w:rsidRPr="005636C0">
              <w:rPr>
                <w:rFonts w:cs="Times New Roman"/>
                <w:b/>
                <w:sz w:val="18"/>
                <w:szCs w:val="18"/>
              </w:rPr>
              <w:t>0.26</w:t>
            </w:r>
            <w:r w:rsidR="00AB2CEE">
              <w:rPr>
                <w:rFonts w:cs="Times New Roman"/>
                <w:b/>
                <w:sz w:val="18"/>
                <w:szCs w:val="18"/>
              </w:rPr>
              <w:br/>
            </w:r>
            <w:r w:rsidRPr="005636C0">
              <w:rPr>
                <w:rFonts w:cs="Times New Roman"/>
                <w:b/>
                <w:sz w:val="18"/>
                <w:szCs w:val="18"/>
              </w:rPr>
              <w:t>‡</w:t>
            </w:r>
          </w:p>
        </w:tc>
        <w:tc>
          <w:tcPr>
            <w:tcW w:w="467" w:type="pct"/>
            <w:gridSpan w:val="2"/>
            <w:tcBorders>
              <w:top w:val="dotted" w:sz="4" w:space="0" w:color="000000" w:themeColor="text1"/>
              <w:left w:val="nil"/>
              <w:bottom w:val="dotted" w:sz="4" w:space="0" w:color="000000" w:themeColor="text1"/>
              <w:right w:val="nil"/>
            </w:tcBorders>
            <w:noWrap/>
            <w:hideMark/>
          </w:tcPr>
          <w:p w14:paraId="1BD23255" w14:textId="21A02E87" w:rsidR="00A755CE" w:rsidRPr="005636C0" w:rsidRDefault="00A755CE" w:rsidP="00454C01">
            <w:pPr>
              <w:spacing w:after="0" w:line="360" w:lineRule="auto"/>
              <w:rPr>
                <w:rFonts w:eastAsia="Times New Roman" w:cs="Times New Roman"/>
                <w:b/>
                <w:color w:val="000000"/>
                <w:sz w:val="18"/>
                <w:szCs w:val="18"/>
                <w:lang w:eastAsia="en-AU"/>
              </w:rPr>
            </w:pPr>
            <w:r w:rsidRPr="005636C0">
              <w:rPr>
                <w:rFonts w:eastAsia="Times New Roman" w:cs="Times New Roman"/>
                <w:b/>
                <w:color w:val="000000"/>
                <w:sz w:val="18"/>
                <w:szCs w:val="18"/>
                <w:lang w:eastAsia="en-AU"/>
              </w:rPr>
              <w:t>0.16</w:t>
            </w:r>
            <w:r w:rsidR="00AB2CEE">
              <w:rPr>
                <w:rFonts w:eastAsia="Times New Roman" w:cs="Times New Roman"/>
                <w:b/>
                <w:color w:val="000000"/>
                <w:sz w:val="18"/>
                <w:szCs w:val="18"/>
                <w:lang w:eastAsia="en-AU"/>
              </w:rPr>
              <w:br/>
            </w:r>
            <w:r w:rsidRPr="005636C0">
              <w:rPr>
                <w:rFonts w:eastAsia="Times New Roman" w:cs="Times New Roman"/>
                <w:b/>
                <w:color w:val="000000"/>
                <w:sz w:val="18"/>
                <w:szCs w:val="18"/>
                <w:lang w:eastAsia="en-AU"/>
              </w:rPr>
              <w:t>‡</w:t>
            </w:r>
          </w:p>
        </w:tc>
        <w:tc>
          <w:tcPr>
            <w:tcW w:w="385" w:type="pct"/>
            <w:tcBorders>
              <w:top w:val="dotted" w:sz="4" w:space="0" w:color="000000" w:themeColor="text1"/>
              <w:left w:val="nil"/>
              <w:bottom w:val="dotted" w:sz="4" w:space="0" w:color="000000" w:themeColor="text1"/>
              <w:right w:val="nil"/>
            </w:tcBorders>
            <w:noWrap/>
            <w:hideMark/>
          </w:tcPr>
          <w:p w14:paraId="69E1BA1F" w14:textId="2D33DED3" w:rsidR="00A755CE" w:rsidRPr="005636C0" w:rsidRDefault="00A755CE" w:rsidP="00454C01">
            <w:pPr>
              <w:spacing w:after="0" w:line="360" w:lineRule="auto"/>
              <w:rPr>
                <w:rFonts w:eastAsia="Times New Roman" w:cs="Times New Roman"/>
                <w:b/>
                <w:color w:val="000000"/>
                <w:sz w:val="18"/>
                <w:szCs w:val="18"/>
                <w:lang w:eastAsia="en-AU"/>
              </w:rPr>
            </w:pPr>
            <w:r w:rsidRPr="005636C0">
              <w:rPr>
                <w:rFonts w:cs="Times New Roman"/>
                <w:b/>
                <w:sz w:val="18"/>
                <w:szCs w:val="18"/>
              </w:rPr>
              <w:t>0.51</w:t>
            </w:r>
            <w:r w:rsidR="00AB2CEE">
              <w:rPr>
                <w:rFonts w:cs="Times New Roman"/>
                <w:b/>
                <w:sz w:val="18"/>
                <w:szCs w:val="18"/>
              </w:rPr>
              <w:br/>
            </w:r>
            <w:r w:rsidRPr="005636C0">
              <w:rPr>
                <w:rFonts w:cs="Times New Roman"/>
                <w:b/>
                <w:sz w:val="18"/>
                <w:szCs w:val="18"/>
              </w:rPr>
              <w:t>‡</w:t>
            </w:r>
          </w:p>
        </w:tc>
        <w:tc>
          <w:tcPr>
            <w:tcW w:w="354" w:type="pct"/>
            <w:tcBorders>
              <w:top w:val="dotted" w:sz="4" w:space="0" w:color="000000" w:themeColor="text1"/>
              <w:left w:val="nil"/>
              <w:bottom w:val="dotted" w:sz="4" w:space="0" w:color="000000" w:themeColor="text1"/>
              <w:right w:val="nil"/>
            </w:tcBorders>
            <w:noWrap/>
            <w:hideMark/>
          </w:tcPr>
          <w:p w14:paraId="13AE2FE6" w14:textId="32A51F4F" w:rsidR="00A755CE" w:rsidRPr="005636C0" w:rsidRDefault="00A755CE" w:rsidP="00454C01">
            <w:pPr>
              <w:spacing w:after="0" w:line="360" w:lineRule="auto"/>
              <w:rPr>
                <w:rFonts w:eastAsia="Times New Roman" w:cs="Times New Roman"/>
                <w:b/>
                <w:color w:val="000000"/>
                <w:sz w:val="18"/>
                <w:szCs w:val="18"/>
                <w:lang w:eastAsia="en-AU"/>
              </w:rPr>
            </w:pPr>
            <w:r w:rsidRPr="005636C0">
              <w:rPr>
                <w:rFonts w:cs="Times New Roman"/>
                <w:b/>
                <w:sz w:val="18"/>
                <w:szCs w:val="18"/>
              </w:rPr>
              <w:t>0.16</w:t>
            </w:r>
            <w:r w:rsidR="00AB2CEE">
              <w:rPr>
                <w:rFonts w:cs="Times New Roman"/>
                <w:b/>
                <w:sz w:val="18"/>
                <w:szCs w:val="18"/>
              </w:rPr>
              <w:br/>
            </w:r>
            <w:r w:rsidRPr="005636C0">
              <w:rPr>
                <w:rFonts w:cs="Times New Roman"/>
                <w:b/>
                <w:sz w:val="18"/>
                <w:szCs w:val="18"/>
              </w:rPr>
              <w:t>‡</w:t>
            </w:r>
          </w:p>
        </w:tc>
      </w:tr>
      <w:tr w:rsidR="00AB2CEE" w14:paraId="68F48D0B" w14:textId="77777777" w:rsidTr="00AB2CEE">
        <w:trPr>
          <w:gridAfter w:val="2"/>
          <w:wAfter w:w="28" w:type="pct"/>
          <w:trHeight w:val="576"/>
        </w:trPr>
        <w:tc>
          <w:tcPr>
            <w:tcW w:w="651" w:type="pct"/>
            <w:vMerge/>
            <w:tcBorders>
              <w:top w:val="single" w:sz="4" w:space="0" w:color="auto"/>
              <w:left w:val="nil"/>
              <w:bottom w:val="single" w:sz="4" w:space="0" w:color="auto"/>
              <w:right w:val="single" w:sz="4" w:space="0" w:color="auto"/>
            </w:tcBorders>
            <w:hideMark/>
          </w:tcPr>
          <w:p w14:paraId="1B922D5A" w14:textId="77777777" w:rsidR="00A755CE" w:rsidRPr="004E53C4" w:rsidRDefault="00A755CE" w:rsidP="00454C01">
            <w:pPr>
              <w:spacing w:after="0"/>
              <w:jc w:val="left"/>
              <w:rPr>
                <w:rFonts w:eastAsia="Times New Roman" w:cs="Times New Roman"/>
                <w:b/>
                <w:bCs/>
                <w:color w:val="000000"/>
                <w:sz w:val="16"/>
                <w:szCs w:val="16"/>
                <w:lang w:val="en-AU" w:eastAsia="en-AU"/>
              </w:rPr>
            </w:pPr>
          </w:p>
        </w:tc>
        <w:tc>
          <w:tcPr>
            <w:tcW w:w="652" w:type="pct"/>
            <w:tcBorders>
              <w:top w:val="nil"/>
              <w:left w:val="single" w:sz="4" w:space="0" w:color="auto"/>
              <w:bottom w:val="single" w:sz="4" w:space="0" w:color="auto"/>
              <w:right w:val="single" w:sz="4" w:space="0" w:color="auto"/>
            </w:tcBorders>
            <w:noWrap/>
            <w:hideMark/>
          </w:tcPr>
          <w:p w14:paraId="51E2A472" w14:textId="77777777" w:rsidR="00A755CE" w:rsidRPr="004E53C4" w:rsidRDefault="00A755CE" w:rsidP="00454C01">
            <w:pPr>
              <w:spacing w:after="0" w:line="480" w:lineRule="auto"/>
              <w:jc w:val="left"/>
              <w:rPr>
                <w:rFonts w:cs="Times New Roman"/>
                <w:bCs/>
                <w:color w:val="000000"/>
                <w:sz w:val="16"/>
                <w:szCs w:val="16"/>
              </w:rPr>
            </w:pPr>
            <w:r w:rsidRPr="004E53C4">
              <w:rPr>
                <w:rFonts w:cs="Times New Roman"/>
                <w:bCs/>
                <w:color w:val="000000"/>
                <w:sz w:val="16"/>
                <w:szCs w:val="16"/>
              </w:rPr>
              <w:t>T2w-SI</w:t>
            </w:r>
          </w:p>
        </w:tc>
        <w:tc>
          <w:tcPr>
            <w:tcW w:w="487" w:type="pct"/>
            <w:gridSpan w:val="2"/>
            <w:tcBorders>
              <w:top w:val="dotted" w:sz="4" w:space="0" w:color="000000" w:themeColor="text1"/>
              <w:left w:val="single" w:sz="4" w:space="0" w:color="auto"/>
              <w:bottom w:val="dotted" w:sz="4" w:space="0" w:color="000000" w:themeColor="text1"/>
              <w:right w:val="nil"/>
            </w:tcBorders>
            <w:noWrap/>
          </w:tcPr>
          <w:p w14:paraId="7ECB7F94" w14:textId="77777777" w:rsidR="00A755CE" w:rsidRPr="004E53C4" w:rsidRDefault="00A755CE" w:rsidP="00454C01">
            <w:pPr>
              <w:spacing w:after="0" w:line="360" w:lineRule="auto"/>
              <w:jc w:val="left"/>
              <w:rPr>
                <w:rFonts w:eastAsia="Times New Roman" w:cs="Times New Roman"/>
                <w:color w:val="FFFFFF"/>
                <w:sz w:val="20"/>
                <w:szCs w:val="20"/>
                <w:lang w:eastAsia="en-AU"/>
              </w:rPr>
            </w:pPr>
          </w:p>
        </w:tc>
        <w:tc>
          <w:tcPr>
            <w:tcW w:w="405" w:type="pct"/>
            <w:tcBorders>
              <w:top w:val="dotted" w:sz="4" w:space="0" w:color="000000" w:themeColor="text1"/>
              <w:left w:val="nil"/>
              <w:bottom w:val="dotted" w:sz="4" w:space="0" w:color="000000" w:themeColor="text1"/>
              <w:right w:val="nil"/>
            </w:tcBorders>
            <w:noWrap/>
          </w:tcPr>
          <w:p w14:paraId="5FEA4C9F" w14:textId="77777777" w:rsidR="00A755CE" w:rsidRPr="005636C0" w:rsidRDefault="00A755CE" w:rsidP="00454C01">
            <w:pPr>
              <w:spacing w:after="0" w:line="360" w:lineRule="auto"/>
              <w:rPr>
                <w:rFonts w:eastAsia="Times New Roman" w:cs="Times New Roman"/>
                <w:b/>
                <w:color w:val="FFFFFF"/>
                <w:sz w:val="18"/>
                <w:szCs w:val="18"/>
                <w:lang w:eastAsia="en-AU"/>
              </w:rPr>
            </w:pPr>
          </w:p>
        </w:tc>
        <w:tc>
          <w:tcPr>
            <w:tcW w:w="323" w:type="pct"/>
            <w:tcBorders>
              <w:top w:val="dotted" w:sz="4" w:space="0" w:color="000000" w:themeColor="text1"/>
              <w:left w:val="nil"/>
              <w:bottom w:val="dotted" w:sz="4" w:space="0" w:color="000000" w:themeColor="text1"/>
              <w:right w:val="nil"/>
            </w:tcBorders>
            <w:noWrap/>
          </w:tcPr>
          <w:p w14:paraId="3A8A5358" w14:textId="77777777" w:rsidR="00A755CE" w:rsidRPr="005636C0" w:rsidRDefault="00A755CE" w:rsidP="00454C01">
            <w:pPr>
              <w:spacing w:after="0" w:line="360" w:lineRule="auto"/>
              <w:rPr>
                <w:rFonts w:eastAsia="Times New Roman" w:cs="Times New Roman"/>
                <w:b/>
                <w:color w:val="FFFFFF"/>
                <w:sz w:val="18"/>
                <w:szCs w:val="18"/>
                <w:lang w:eastAsia="en-AU"/>
              </w:rPr>
            </w:pPr>
          </w:p>
        </w:tc>
        <w:tc>
          <w:tcPr>
            <w:tcW w:w="481" w:type="pct"/>
            <w:gridSpan w:val="2"/>
            <w:tcBorders>
              <w:top w:val="dotted" w:sz="4" w:space="0" w:color="000000" w:themeColor="text1"/>
              <w:left w:val="nil"/>
              <w:bottom w:val="dotted" w:sz="4" w:space="0" w:color="000000" w:themeColor="text1"/>
              <w:right w:val="nil"/>
            </w:tcBorders>
            <w:noWrap/>
          </w:tcPr>
          <w:p w14:paraId="67AC19CD" w14:textId="77777777" w:rsidR="00A755CE" w:rsidRPr="005636C0" w:rsidRDefault="00A755CE" w:rsidP="00454C01">
            <w:pPr>
              <w:spacing w:after="0" w:line="360" w:lineRule="auto"/>
              <w:rPr>
                <w:rFonts w:eastAsia="Times New Roman" w:cs="Times New Roman"/>
                <w:b/>
                <w:color w:val="FFFFFF"/>
                <w:sz w:val="18"/>
                <w:szCs w:val="18"/>
                <w:lang w:eastAsia="en-AU"/>
              </w:rPr>
            </w:pPr>
          </w:p>
        </w:tc>
        <w:tc>
          <w:tcPr>
            <w:tcW w:w="384" w:type="pct"/>
            <w:tcBorders>
              <w:top w:val="dotted" w:sz="4" w:space="0" w:color="000000" w:themeColor="text1"/>
              <w:left w:val="nil"/>
              <w:bottom w:val="dotted" w:sz="4" w:space="0" w:color="000000" w:themeColor="text1"/>
              <w:right w:val="nil"/>
            </w:tcBorders>
            <w:noWrap/>
          </w:tcPr>
          <w:p w14:paraId="5066CE93" w14:textId="77777777" w:rsidR="00A755CE" w:rsidRPr="005636C0" w:rsidRDefault="00A755CE" w:rsidP="00454C01">
            <w:pPr>
              <w:spacing w:after="0" w:line="360" w:lineRule="auto"/>
              <w:rPr>
                <w:rFonts w:eastAsia="Times New Roman" w:cs="Times New Roman"/>
                <w:b/>
                <w:color w:val="FFFFFF"/>
                <w:sz w:val="18"/>
                <w:szCs w:val="18"/>
                <w:lang w:eastAsia="en-AU"/>
              </w:rPr>
            </w:pPr>
          </w:p>
        </w:tc>
        <w:tc>
          <w:tcPr>
            <w:tcW w:w="384" w:type="pct"/>
            <w:tcBorders>
              <w:top w:val="dotted" w:sz="4" w:space="0" w:color="000000" w:themeColor="text1"/>
              <w:left w:val="nil"/>
              <w:bottom w:val="dotted" w:sz="4" w:space="0" w:color="000000" w:themeColor="text1"/>
              <w:right w:val="nil"/>
            </w:tcBorders>
            <w:shd w:val="clear" w:color="auto" w:fill="000000" w:themeFill="text1"/>
            <w:noWrap/>
          </w:tcPr>
          <w:p w14:paraId="130FB5F8" w14:textId="77777777" w:rsidR="00A755CE" w:rsidRPr="005636C0" w:rsidRDefault="00A755CE" w:rsidP="00454C01">
            <w:pPr>
              <w:spacing w:after="0" w:line="360" w:lineRule="auto"/>
              <w:rPr>
                <w:rFonts w:eastAsia="Times New Roman" w:cs="Times New Roman"/>
                <w:b/>
                <w:color w:val="000000"/>
                <w:sz w:val="18"/>
                <w:szCs w:val="18"/>
                <w:lang w:eastAsia="en-AU"/>
              </w:rPr>
            </w:pPr>
          </w:p>
        </w:tc>
        <w:tc>
          <w:tcPr>
            <w:tcW w:w="467" w:type="pct"/>
            <w:gridSpan w:val="2"/>
            <w:tcBorders>
              <w:top w:val="dotted" w:sz="4" w:space="0" w:color="000000" w:themeColor="text1"/>
              <w:left w:val="nil"/>
              <w:bottom w:val="dotted" w:sz="4" w:space="0" w:color="000000" w:themeColor="text1"/>
              <w:right w:val="nil"/>
            </w:tcBorders>
            <w:noWrap/>
            <w:hideMark/>
          </w:tcPr>
          <w:p w14:paraId="5CC4B964" w14:textId="67F67012" w:rsidR="00A755CE" w:rsidRPr="005636C0" w:rsidRDefault="00A755CE" w:rsidP="00454C01">
            <w:pPr>
              <w:spacing w:after="0" w:line="360" w:lineRule="auto"/>
              <w:rPr>
                <w:rFonts w:eastAsia="Times New Roman" w:cs="Times New Roman"/>
                <w:b/>
                <w:color w:val="000000"/>
                <w:sz w:val="18"/>
                <w:szCs w:val="18"/>
                <w:lang w:eastAsia="en-AU"/>
              </w:rPr>
            </w:pPr>
            <w:r w:rsidRPr="005636C0">
              <w:rPr>
                <w:rFonts w:cs="Times New Roman"/>
                <w:b/>
                <w:sz w:val="18"/>
                <w:szCs w:val="18"/>
              </w:rPr>
              <w:t>0.73</w:t>
            </w:r>
            <w:r w:rsidR="00AB2CEE">
              <w:rPr>
                <w:rFonts w:cs="Times New Roman"/>
                <w:b/>
                <w:sz w:val="18"/>
                <w:szCs w:val="18"/>
              </w:rPr>
              <w:br/>
            </w:r>
            <w:r w:rsidRPr="005636C0">
              <w:rPr>
                <w:rFonts w:cs="Times New Roman"/>
                <w:b/>
                <w:sz w:val="18"/>
                <w:szCs w:val="18"/>
              </w:rPr>
              <w:t>‡</w:t>
            </w:r>
          </w:p>
        </w:tc>
        <w:tc>
          <w:tcPr>
            <w:tcW w:w="385" w:type="pct"/>
            <w:tcBorders>
              <w:top w:val="dotted" w:sz="4" w:space="0" w:color="000000" w:themeColor="text1"/>
              <w:left w:val="nil"/>
              <w:bottom w:val="dotted" w:sz="4" w:space="0" w:color="000000" w:themeColor="text1"/>
              <w:right w:val="nil"/>
            </w:tcBorders>
            <w:noWrap/>
            <w:hideMark/>
          </w:tcPr>
          <w:p w14:paraId="02092A6B" w14:textId="4C91C636" w:rsidR="00A755CE" w:rsidRPr="005636C0" w:rsidRDefault="00A755CE" w:rsidP="00454C01">
            <w:pPr>
              <w:spacing w:after="0" w:line="360" w:lineRule="auto"/>
              <w:rPr>
                <w:rFonts w:eastAsia="Times New Roman" w:cs="Times New Roman"/>
                <w:b/>
                <w:color w:val="000000"/>
                <w:sz w:val="18"/>
                <w:szCs w:val="18"/>
                <w:lang w:eastAsia="en-AU"/>
              </w:rPr>
            </w:pPr>
            <w:r w:rsidRPr="005636C0">
              <w:rPr>
                <w:rFonts w:cs="Times New Roman"/>
                <w:b/>
                <w:sz w:val="18"/>
                <w:szCs w:val="18"/>
              </w:rPr>
              <w:t>0.13</w:t>
            </w:r>
            <w:r w:rsidR="00AB2CEE">
              <w:rPr>
                <w:rFonts w:cs="Times New Roman"/>
                <w:b/>
                <w:sz w:val="18"/>
                <w:szCs w:val="18"/>
              </w:rPr>
              <w:br/>
            </w:r>
            <w:r w:rsidRPr="005636C0">
              <w:rPr>
                <w:rFonts w:cs="Times New Roman"/>
                <w:b/>
                <w:sz w:val="18"/>
                <w:szCs w:val="18"/>
              </w:rPr>
              <w:t>†</w:t>
            </w:r>
          </w:p>
        </w:tc>
        <w:tc>
          <w:tcPr>
            <w:tcW w:w="354" w:type="pct"/>
            <w:tcBorders>
              <w:top w:val="dotted" w:sz="4" w:space="0" w:color="000000" w:themeColor="text1"/>
              <w:left w:val="nil"/>
              <w:bottom w:val="dotted" w:sz="4" w:space="0" w:color="000000" w:themeColor="text1"/>
              <w:right w:val="nil"/>
            </w:tcBorders>
            <w:noWrap/>
            <w:hideMark/>
          </w:tcPr>
          <w:p w14:paraId="34ACEC5D" w14:textId="2C6F3C42" w:rsidR="00A755CE" w:rsidRPr="005636C0" w:rsidRDefault="00A755CE" w:rsidP="00454C01">
            <w:pPr>
              <w:spacing w:after="0" w:line="360" w:lineRule="auto"/>
              <w:rPr>
                <w:rFonts w:eastAsia="Times New Roman" w:cs="Times New Roman"/>
                <w:b/>
                <w:color w:val="000000"/>
                <w:sz w:val="18"/>
                <w:szCs w:val="18"/>
                <w:lang w:eastAsia="en-AU"/>
              </w:rPr>
            </w:pPr>
            <w:r w:rsidRPr="005636C0">
              <w:rPr>
                <w:rFonts w:cs="Times New Roman"/>
                <w:b/>
                <w:sz w:val="18"/>
                <w:szCs w:val="18"/>
              </w:rPr>
              <w:t>0.74</w:t>
            </w:r>
            <w:r w:rsidR="00AB2CEE">
              <w:rPr>
                <w:rFonts w:cs="Times New Roman"/>
                <w:b/>
                <w:sz w:val="18"/>
                <w:szCs w:val="18"/>
              </w:rPr>
              <w:br/>
            </w:r>
            <w:r w:rsidRPr="005636C0">
              <w:rPr>
                <w:rFonts w:cs="Times New Roman"/>
                <w:b/>
                <w:sz w:val="18"/>
                <w:szCs w:val="18"/>
              </w:rPr>
              <w:t>‡</w:t>
            </w:r>
          </w:p>
        </w:tc>
      </w:tr>
      <w:tr w:rsidR="00AB2CEE" w14:paraId="6BF2BFB8" w14:textId="77777777" w:rsidTr="00AB2CEE">
        <w:trPr>
          <w:gridAfter w:val="2"/>
          <w:wAfter w:w="28" w:type="pct"/>
          <w:trHeight w:val="576"/>
        </w:trPr>
        <w:tc>
          <w:tcPr>
            <w:tcW w:w="651" w:type="pct"/>
            <w:vMerge w:val="restart"/>
            <w:tcBorders>
              <w:top w:val="single" w:sz="4" w:space="0" w:color="auto"/>
              <w:left w:val="nil"/>
              <w:bottom w:val="single" w:sz="4" w:space="0" w:color="auto"/>
              <w:right w:val="single" w:sz="4" w:space="0" w:color="auto"/>
            </w:tcBorders>
            <w:hideMark/>
          </w:tcPr>
          <w:p w14:paraId="08D3C700" w14:textId="1D670E18" w:rsidR="00A755CE" w:rsidRPr="004E53C4" w:rsidRDefault="00A755CE" w:rsidP="00454C01">
            <w:pPr>
              <w:spacing w:after="0" w:line="480" w:lineRule="auto"/>
              <w:jc w:val="left"/>
              <w:rPr>
                <w:rFonts w:cs="Times New Roman"/>
                <w:b/>
                <w:bCs/>
                <w:color w:val="000000"/>
                <w:sz w:val="16"/>
                <w:szCs w:val="16"/>
              </w:rPr>
            </w:pPr>
            <w:r w:rsidRPr="004E53C4">
              <w:rPr>
                <w:rFonts w:cs="Times New Roman"/>
                <w:b/>
                <w:bCs/>
                <w:color w:val="000000"/>
                <w:sz w:val="16"/>
                <w:szCs w:val="16"/>
              </w:rPr>
              <w:t>Nucleus/</w:t>
            </w:r>
            <w:r w:rsidR="00AB2CEE">
              <w:rPr>
                <w:rFonts w:cs="Times New Roman"/>
                <w:b/>
                <w:bCs/>
                <w:color w:val="000000"/>
                <w:sz w:val="16"/>
                <w:szCs w:val="16"/>
              </w:rPr>
              <w:t xml:space="preserve"> </w:t>
            </w:r>
            <w:proofErr w:type="spellStart"/>
            <w:r w:rsidRPr="004E53C4">
              <w:rPr>
                <w:rFonts w:cs="Times New Roman"/>
                <w:b/>
                <w:bCs/>
                <w:color w:val="000000"/>
                <w:sz w:val="16"/>
                <w:szCs w:val="16"/>
              </w:rPr>
              <w:t>annulus</w:t>
            </w:r>
            <w:proofErr w:type="spellEnd"/>
            <w:r w:rsidRPr="004E53C4">
              <w:rPr>
                <w:rFonts w:cs="Times New Roman"/>
                <w:b/>
                <w:bCs/>
                <w:color w:val="000000"/>
                <w:sz w:val="16"/>
                <w:szCs w:val="16"/>
              </w:rPr>
              <w:t xml:space="preserve"> </w:t>
            </w:r>
            <w:proofErr w:type="spellStart"/>
            <w:r w:rsidRPr="004E53C4">
              <w:rPr>
                <w:rFonts w:cs="Times New Roman"/>
                <w:b/>
                <w:bCs/>
                <w:color w:val="000000"/>
                <w:sz w:val="16"/>
                <w:szCs w:val="16"/>
              </w:rPr>
              <w:t>ratio</w:t>
            </w:r>
            <w:proofErr w:type="spellEnd"/>
          </w:p>
        </w:tc>
        <w:tc>
          <w:tcPr>
            <w:tcW w:w="652" w:type="pct"/>
            <w:tcBorders>
              <w:top w:val="single" w:sz="4" w:space="0" w:color="auto"/>
              <w:left w:val="single" w:sz="4" w:space="0" w:color="auto"/>
              <w:bottom w:val="nil"/>
              <w:right w:val="single" w:sz="4" w:space="0" w:color="auto"/>
            </w:tcBorders>
            <w:noWrap/>
            <w:hideMark/>
          </w:tcPr>
          <w:p w14:paraId="3F8602F9" w14:textId="77777777" w:rsidR="00A755CE" w:rsidRPr="004E53C4" w:rsidRDefault="00A755CE" w:rsidP="00454C01">
            <w:pPr>
              <w:spacing w:after="0" w:line="480" w:lineRule="auto"/>
              <w:jc w:val="left"/>
              <w:rPr>
                <w:rFonts w:cs="Times New Roman"/>
                <w:bCs/>
                <w:color w:val="000000"/>
                <w:sz w:val="16"/>
                <w:szCs w:val="16"/>
              </w:rPr>
            </w:pPr>
            <w:r w:rsidRPr="004E53C4">
              <w:rPr>
                <w:rFonts w:cs="Times New Roman"/>
                <w:bCs/>
                <w:color w:val="000000"/>
                <w:sz w:val="16"/>
                <w:szCs w:val="16"/>
              </w:rPr>
              <w:t>T2-mapping</w:t>
            </w:r>
          </w:p>
        </w:tc>
        <w:tc>
          <w:tcPr>
            <w:tcW w:w="487" w:type="pct"/>
            <w:gridSpan w:val="2"/>
            <w:tcBorders>
              <w:top w:val="dotted" w:sz="4" w:space="0" w:color="000000" w:themeColor="text1"/>
              <w:left w:val="single" w:sz="4" w:space="0" w:color="auto"/>
              <w:bottom w:val="dotted" w:sz="4" w:space="0" w:color="000000" w:themeColor="text1"/>
              <w:right w:val="nil"/>
            </w:tcBorders>
            <w:noWrap/>
          </w:tcPr>
          <w:p w14:paraId="132CD83C" w14:textId="77777777" w:rsidR="00A755CE" w:rsidRPr="004E53C4" w:rsidRDefault="00A755CE" w:rsidP="00454C01">
            <w:pPr>
              <w:spacing w:after="0" w:line="360" w:lineRule="auto"/>
              <w:jc w:val="left"/>
              <w:rPr>
                <w:rFonts w:eastAsia="Times New Roman" w:cs="Times New Roman"/>
                <w:color w:val="FFFFFF"/>
                <w:sz w:val="20"/>
                <w:szCs w:val="20"/>
                <w:lang w:eastAsia="en-AU"/>
              </w:rPr>
            </w:pPr>
          </w:p>
        </w:tc>
        <w:tc>
          <w:tcPr>
            <w:tcW w:w="405" w:type="pct"/>
            <w:tcBorders>
              <w:top w:val="dotted" w:sz="4" w:space="0" w:color="000000" w:themeColor="text1"/>
              <w:left w:val="nil"/>
              <w:bottom w:val="dotted" w:sz="4" w:space="0" w:color="000000" w:themeColor="text1"/>
              <w:right w:val="nil"/>
            </w:tcBorders>
            <w:noWrap/>
          </w:tcPr>
          <w:p w14:paraId="3A703E1A" w14:textId="77777777" w:rsidR="00A755CE" w:rsidRPr="005636C0" w:rsidRDefault="00A755CE" w:rsidP="00454C01">
            <w:pPr>
              <w:spacing w:after="0" w:line="360" w:lineRule="auto"/>
              <w:jc w:val="left"/>
              <w:rPr>
                <w:rFonts w:eastAsia="Times New Roman" w:cs="Times New Roman"/>
                <w:b/>
                <w:color w:val="FFFFFF"/>
                <w:sz w:val="18"/>
                <w:szCs w:val="18"/>
                <w:lang w:eastAsia="en-AU"/>
              </w:rPr>
            </w:pPr>
          </w:p>
        </w:tc>
        <w:tc>
          <w:tcPr>
            <w:tcW w:w="323" w:type="pct"/>
            <w:tcBorders>
              <w:top w:val="dotted" w:sz="4" w:space="0" w:color="000000" w:themeColor="text1"/>
              <w:left w:val="nil"/>
              <w:bottom w:val="dotted" w:sz="4" w:space="0" w:color="000000" w:themeColor="text1"/>
              <w:right w:val="nil"/>
            </w:tcBorders>
            <w:noWrap/>
          </w:tcPr>
          <w:p w14:paraId="7F0B5025" w14:textId="77777777" w:rsidR="00A755CE" w:rsidRPr="005636C0" w:rsidRDefault="00A755CE" w:rsidP="00454C01">
            <w:pPr>
              <w:spacing w:after="0" w:line="360" w:lineRule="auto"/>
              <w:jc w:val="left"/>
              <w:rPr>
                <w:rFonts w:eastAsia="Times New Roman" w:cs="Times New Roman"/>
                <w:b/>
                <w:color w:val="FFFFFF"/>
                <w:sz w:val="18"/>
                <w:szCs w:val="18"/>
                <w:lang w:eastAsia="en-AU"/>
              </w:rPr>
            </w:pPr>
          </w:p>
        </w:tc>
        <w:tc>
          <w:tcPr>
            <w:tcW w:w="481" w:type="pct"/>
            <w:gridSpan w:val="2"/>
            <w:tcBorders>
              <w:top w:val="dotted" w:sz="4" w:space="0" w:color="000000" w:themeColor="text1"/>
              <w:left w:val="nil"/>
              <w:bottom w:val="dotted" w:sz="4" w:space="0" w:color="000000" w:themeColor="text1"/>
              <w:right w:val="nil"/>
            </w:tcBorders>
            <w:noWrap/>
          </w:tcPr>
          <w:p w14:paraId="700EA070" w14:textId="77777777" w:rsidR="00A755CE" w:rsidRPr="005636C0" w:rsidRDefault="00A755CE" w:rsidP="00454C01">
            <w:pPr>
              <w:spacing w:after="0" w:line="360" w:lineRule="auto"/>
              <w:jc w:val="left"/>
              <w:rPr>
                <w:rFonts w:eastAsia="Times New Roman" w:cs="Times New Roman"/>
                <w:b/>
                <w:color w:val="FFFFFF"/>
                <w:sz w:val="18"/>
                <w:szCs w:val="18"/>
                <w:lang w:eastAsia="en-AU"/>
              </w:rPr>
            </w:pPr>
          </w:p>
        </w:tc>
        <w:tc>
          <w:tcPr>
            <w:tcW w:w="384" w:type="pct"/>
            <w:tcBorders>
              <w:top w:val="dotted" w:sz="4" w:space="0" w:color="000000" w:themeColor="text1"/>
              <w:left w:val="nil"/>
              <w:bottom w:val="dotted" w:sz="4" w:space="0" w:color="000000" w:themeColor="text1"/>
              <w:right w:val="nil"/>
            </w:tcBorders>
            <w:noWrap/>
          </w:tcPr>
          <w:p w14:paraId="7C2DD268" w14:textId="77777777" w:rsidR="00A755CE" w:rsidRPr="005636C0" w:rsidRDefault="00A755CE" w:rsidP="00454C01">
            <w:pPr>
              <w:spacing w:after="0" w:line="360" w:lineRule="auto"/>
              <w:jc w:val="left"/>
              <w:rPr>
                <w:rFonts w:eastAsia="Times New Roman" w:cs="Times New Roman"/>
                <w:b/>
                <w:color w:val="FFFFFF"/>
                <w:sz w:val="18"/>
                <w:szCs w:val="18"/>
                <w:lang w:eastAsia="en-AU"/>
              </w:rPr>
            </w:pPr>
          </w:p>
        </w:tc>
        <w:tc>
          <w:tcPr>
            <w:tcW w:w="384" w:type="pct"/>
            <w:tcBorders>
              <w:top w:val="dotted" w:sz="4" w:space="0" w:color="000000" w:themeColor="text1"/>
              <w:left w:val="nil"/>
              <w:bottom w:val="dotted" w:sz="4" w:space="0" w:color="000000" w:themeColor="text1"/>
              <w:right w:val="nil"/>
            </w:tcBorders>
            <w:noWrap/>
          </w:tcPr>
          <w:p w14:paraId="04EDEB60" w14:textId="77777777" w:rsidR="00A755CE" w:rsidRPr="005636C0" w:rsidRDefault="00A755CE" w:rsidP="00454C01">
            <w:pPr>
              <w:spacing w:after="0" w:line="360" w:lineRule="auto"/>
              <w:jc w:val="left"/>
              <w:rPr>
                <w:rFonts w:eastAsia="Times New Roman" w:cs="Times New Roman"/>
                <w:b/>
                <w:color w:val="FFFFFF"/>
                <w:sz w:val="18"/>
                <w:szCs w:val="18"/>
                <w:lang w:eastAsia="en-AU"/>
              </w:rPr>
            </w:pPr>
          </w:p>
        </w:tc>
        <w:tc>
          <w:tcPr>
            <w:tcW w:w="467" w:type="pct"/>
            <w:gridSpan w:val="2"/>
            <w:tcBorders>
              <w:top w:val="dotted" w:sz="4" w:space="0" w:color="000000" w:themeColor="text1"/>
              <w:left w:val="nil"/>
              <w:bottom w:val="dotted" w:sz="4" w:space="0" w:color="000000" w:themeColor="text1"/>
              <w:right w:val="nil"/>
            </w:tcBorders>
            <w:shd w:val="clear" w:color="auto" w:fill="000000" w:themeFill="text1"/>
            <w:noWrap/>
          </w:tcPr>
          <w:p w14:paraId="366B84A3" w14:textId="77777777" w:rsidR="00A755CE" w:rsidRPr="005636C0" w:rsidRDefault="00A755CE" w:rsidP="00454C01">
            <w:pPr>
              <w:spacing w:after="0" w:line="360" w:lineRule="auto"/>
              <w:jc w:val="left"/>
              <w:rPr>
                <w:rFonts w:eastAsia="Times New Roman" w:cs="Times New Roman"/>
                <w:b/>
                <w:color w:val="000000"/>
                <w:sz w:val="18"/>
                <w:szCs w:val="18"/>
                <w:lang w:eastAsia="en-AU"/>
              </w:rPr>
            </w:pPr>
          </w:p>
        </w:tc>
        <w:tc>
          <w:tcPr>
            <w:tcW w:w="385" w:type="pct"/>
            <w:tcBorders>
              <w:top w:val="dotted" w:sz="4" w:space="0" w:color="000000" w:themeColor="text1"/>
              <w:left w:val="nil"/>
              <w:bottom w:val="dotted" w:sz="4" w:space="0" w:color="000000" w:themeColor="text1"/>
              <w:right w:val="nil"/>
            </w:tcBorders>
            <w:noWrap/>
            <w:hideMark/>
          </w:tcPr>
          <w:p w14:paraId="55CC34FC" w14:textId="4913AFCF" w:rsidR="00A755CE" w:rsidRPr="005636C0" w:rsidRDefault="00A755CE" w:rsidP="00454C01">
            <w:pPr>
              <w:spacing w:after="0" w:line="360" w:lineRule="auto"/>
              <w:rPr>
                <w:rFonts w:eastAsia="Times New Roman" w:cs="Times New Roman"/>
                <w:color w:val="000000"/>
                <w:sz w:val="18"/>
                <w:szCs w:val="18"/>
                <w:lang w:eastAsia="en-AU"/>
              </w:rPr>
            </w:pPr>
            <w:r w:rsidRPr="005636C0">
              <w:rPr>
                <w:rFonts w:cs="Times New Roman"/>
                <w:sz w:val="18"/>
                <w:szCs w:val="18"/>
              </w:rPr>
              <w:t>0.03</w:t>
            </w:r>
            <w:r w:rsidR="00AB2CEE">
              <w:rPr>
                <w:rFonts w:cs="Times New Roman"/>
                <w:sz w:val="18"/>
                <w:szCs w:val="18"/>
              </w:rPr>
              <w:br/>
            </w:r>
          </w:p>
        </w:tc>
        <w:tc>
          <w:tcPr>
            <w:tcW w:w="354" w:type="pct"/>
            <w:tcBorders>
              <w:top w:val="dotted" w:sz="4" w:space="0" w:color="000000" w:themeColor="text1"/>
              <w:left w:val="nil"/>
              <w:bottom w:val="dotted" w:sz="4" w:space="0" w:color="000000" w:themeColor="text1"/>
              <w:right w:val="nil"/>
            </w:tcBorders>
            <w:noWrap/>
            <w:hideMark/>
          </w:tcPr>
          <w:p w14:paraId="1619843C" w14:textId="769379B5" w:rsidR="00A755CE" w:rsidRPr="005636C0" w:rsidRDefault="00A755CE" w:rsidP="00454C01">
            <w:pPr>
              <w:spacing w:after="0" w:line="360" w:lineRule="auto"/>
              <w:rPr>
                <w:rFonts w:eastAsia="Times New Roman" w:cs="Times New Roman"/>
                <w:b/>
                <w:color w:val="000000"/>
                <w:sz w:val="18"/>
                <w:szCs w:val="18"/>
                <w:lang w:eastAsia="en-AU"/>
              </w:rPr>
            </w:pPr>
            <w:r w:rsidRPr="005636C0">
              <w:rPr>
                <w:rFonts w:cs="Times New Roman"/>
                <w:b/>
                <w:sz w:val="18"/>
                <w:szCs w:val="18"/>
              </w:rPr>
              <w:t>0.66</w:t>
            </w:r>
            <w:r w:rsidR="00AB2CEE">
              <w:rPr>
                <w:rFonts w:cs="Times New Roman"/>
                <w:b/>
                <w:sz w:val="18"/>
                <w:szCs w:val="18"/>
              </w:rPr>
              <w:br/>
            </w:r>
            <w:r w:rsidRPr="005636C0">
              <w:rPr>
                <w:rFonts w:cs="Times New Roman"/>
                <w:b/>
                <w:sz w:val="18"/>
                <w:szCs w:val="18"/>
              </w:rPr>
              <w:t>‡</w:t>
            </w:r>
          </w:p>
        </w:tc>
      </w:tr>
      <w:tr w:rsidR="00AB2CEE" w14:paraId="4435AF5D" w14:textId="77777777" w:rsidTr="00AB2CEE">
        <w:trPr>
          <w:gridAfter w:val="2"/>
          <w:wAfter w:w="28" w:type="pct"/>
          <w:trHeight w:val="576"/>
        </w:trPr>
        <w:tc>
          <w:tcPr>
            <w:tcW w:w="651" w:type="pct"/>
            <w:vMerge/>
            <w:tcBorders>
              <w:top w:val="single" w:sz="4" w:space="0" w:color="auto"/>
              <w:left w:val="nil"/>
              <w:bottom w:val="single" w:sz="4" w:space="0" w:color="auto"/>
              <w:right w:val="single" w:sz="4" w:space="0" w:color="auto"/>
            </w:tcBorders>
            <w:hideMark/>
          </w:tcPr>
          <w:p w14:paraId="5AB1F273" w14:textId="77777777" w:rsidR="00A755CE" w:rsidRDefault="00A755CE" w:rsidP="00454C01">
            <w:pPr>
              <w:spacing w:after="0"/>
              <w:jc w:val="left"/>
              <w:rPr>
                <w:rFonts w:cs="Times New Roman"/>
                <w:b/>
                <w:bCs/>
                <w:color w:val="000000"/>
                <w:sz w:val="24"/>
                <w:szCs w:val="24"/>
                <w:lang w:val="en-AU"/>
              </w:rPr>
            </w:pPr>
          </w:p>
        </w:tc>
        <w:tc>
          <w:tcPr>
            <w:tcW w:w="652" w:type="pct"/>
            <w:tcBorders>
              <w:top w:val="nil"/>
              <w:left w:val="single" w:sz="4" w:space="0" w:color="auto"/>
              <w:bottom w:val="nil"/>
              <w:right w:val="single" w:sz="4" w:space="0" w:color="auto"/>
            </w:tcBorders>
            <w:noWrap/>
            <w:hideMark/>
          </w:tcPr>
          <w:p w14:paraId="77AF0250" w14:textId="77777777" w:rsidR="00A755CE" w:rsidRPr="005636C0" w:rsidRDefault="00A755CE" w:rsidP="00454C01">
            <w:pPr>
              <w:spacing w:after="0" w:line="480" w:lineRule="auto"/>
              <w:jc w:val="left"/>
              <w:rPr>
                <w:rFonts w:cs="Times New Roman"/>
                <w:bCs/>
                <w:color w:val="000000"/>
                <w:sz w:val="16"/>
                <w:szCs w:val="16"/>
              </w:rPr>
            </w:pPr>
            <w:r w:rsidRPr="005636C0">
              <w:rPr>
                <w:rFonts w:cs="Times New Roman"/>
                <w:bCs/>
                <w:color w:val="000000"/>
                <w:sz w:val="16"/>
                <w:szCs w:val="16"/>
              </w:rPr>
              <w:t>D</w:t>
            </w:r>
            <w:r>
              <w:rPr>
                <w:rFonts w:cs="Times New Roman"/>
                <w:bCs/>
                <w:color w:val="000000"/>
                <w:sz w:val="16"/>
                <w:szCs w:val="16"/>
              </w:rPr>
              <w:t>ixon</w:t>
            </w:r>
          </w:p>
        </w:tc>
        <w:tc>
          <w:tcPr>
            <w:tcW w:w="487" w:type="pct"/>
            <w:gridSpan w:val="2"/>
            <w:tcBorders>
              <w:top w:val="dotted" w:sz="4" w:space="0" w:color="000000" w:themeColor="text1"/>
              <w:left w:val="single" w:sz="4" w:space="0" w:color="auto"/>
              <w:bottom w:val="dotted" w:sz="4" w:space="0" w:color="000000" w:themeColor="text1"/>
              <w:right w:val="nil"/>
            </w:tcBorders>
            <w:noWrap/>
          </w:tcPr>
          <w:p w14:paraId="0FF89D6B" w14:textId="77777777" w:rsidR="00A755CE" w:rsidRDefault="00A755CE" w:rsidP="00454C01">
            <w:pPr>
              <w:spacing w:after="0" w:line="360" w:lineRule="auto"/>
              <w:jc w:val="left"/>
              <w:rPr>
                <w:rFonts w:eastAsia="Times New Roman" w:cs="Times New Roman"/>
                <w:color w:val="FFFFFF"/>
                <w:sz w:val="24"/>
                <w:szCs w:val="24"/>
                <w:lang w:eastAsia="en-AU"/>
              </w:rPr>
            </w:pPr>
          </w:p>
        </w:tc>
        <w:tc>
          <w:tcPr>
            <w:tcW w:w="405" w:type="pct"/>
            <w:tcBorders>
              <w:top w:val="dotted" w:sz="4" w:space="0" w:color="000000" w:themeColor="text1"/>
              <w:left w:val="nil"/>
              <w:bottom w:val="dotted" w:sz="4" w:space="0" w:color="000000" w:themeColor="text1"/>
              <w:right w:val="nil"/>
            </w:tcBorders>
            <w:noWrap/>
          </w:tcPr>
          <w:p w14:paraId="4FBBCA24" w14:textId="77777777" w:rsidR="00A755CE" w:rsidRPr="005636C0" w:rsidRDefault="00A755CE" w:rsidP="00454C01">
            <w:pPr>
              <w:spacing w:after="0" w:line="360" w:lineRule="auto"/>
              <w:jc w:val="left"/>
              <w:rPr>
                <w:rFonts w:eastAsia="Times New Roman" w:cs="Times New Roman"/>
                <w:b/>
                <w:color w:val="FFFFFF"/>
                <w:sz w:val="18"/>
                <w:szCs w:val="18"/>
                <w:lang w:eastAsia="en-AU"/>
              </w:rPr>
            </w:pPr>
          </w:p>
        </w:tc>
        <w:tc>
          <w:tcPr>
            <w:tcW w:w="323" w:type="pct"/>
            <w:tcBorders>
              <w:top w:val="dotted" w:sz="4" w:space="0" w:color="000000" w:themeColor="text1"/>
              <w:left w:val="nil"/>
              <w:bottom w:val="dotted" w:sz="4" w:space="0" w:color="000000" w:themeColor="text1"/>
              <w:right w:val="nil"/>
            </w:tcBorders>
            <w:noWrap/>
          </w:tcPr>
          <w:p w14:paraId="7246B0B9" w14:textId="77777777" w:rsidR="00A755CE" w:rsidRPr="005636C0" w:rsidRDefault="00A755CE" w:rsidP="00454C01">
            <w:pPr>
              <w:spacing w:after="0" w:line="360" w:lineRule="auto"/>
              <w:jc w:val="left"/>
              <w:rPr>
                <w:rFonts w:eastAsia="Times New Roman" w:cs="Times New Roman"/>
                <w:b/>
                <w:color w:val="FFFFFF"/>
                <w:sz w:val="18"/>
                <w:szCs w:val="18"/>
                <w:lang w:eastAsia="en-AU"/>
              </w:rPr>
            </w:pPr>
          </w:p>
        </w:tc>
        <w:tc>
          <w:tcPr>
            <w:tcW w:w="481" w:type="pct"/>
            <w:gridSpan w:val="2"/>
            <w:tcBorders>
              <w:top w:val="dotted" w:sz="4" w:space="0" w:color="000000" w:themeColor="text1"/>
              <w:left w:val="nil"/>
              <w:bottom w:val="dotted" w:sz="4" w:space="0" w:color="000000" w:themeColor="text1"/>
              <w:right w:val="nil"/>
            </w:tcBorders>
            <w:noWrap/>
          </w:tcPr>
          <w:p w14:paraId="1CF6ADC2" w14:textId="77777777" w:rsidR="00A755CE" w:rsidRPr="005636C0" w:rsidRDefault="00A755CE" w:rsidP="00454C01">
            <w:pPr>
              <w:spacing w:after="0" w:line="360" w:lineRule="auto"/>
              <w:jc w:val="left"/>
              <w:rPr>
                <w:rFonts w:eastAsia="Times New Roman" w:cs="Times New Roman"/>
                <w:b/>
                <w:color w:val="FFFFFF"/>
                <w:sz w:val="18"/>
                <w:szCs w:val="18"/>
                <w:lang w:eastAsia="en-AU"/>
              </w:rPr>
            </w:pPr>
          </w:p>
        </w:tc>
        <w:tc>
          <w:tcPr>
            <w:tcW w:w="384" w:type="pct"/>
            <w:tcBorders>
              <w:top w:val="dotted" w:sz="4" w:space="0" w:color="000000" w:themeColor="text1"/>
              <w:left w:val="nil"/>
              <w:bottom w:val="dotted" w:sz="4" w:space="0" w:color="000000" w:themeColor="text1"/>
              <w:right w:val="nil"/>
            </w:tcBorders>
            <w:noWrap/>
          </w:tcPr>
          <w:p w14:paraId="3E74AB64" w14:textId="77777777" w:rsidR="00A755CE" w:rsidRPr="005636C0" w:rsidRDefault="00A755CE" w:rsidP="00454C01">
            <w:pPr>
              <w:spacing w:after="0" w:line="360" w:lineRule="auto"/>
              <w:jc w:val="left"/>
              <w:rPr>
                <w:rFonts w:eastAsia="Times New Roman" w:cs="Times New Roman"/>
                <w:b/>
                <w:color w:val="FFFFFF"/>
                <w:sz w:val="18"/>
                <w:szCs w:val="18"/>
                <w:lang w:eastAsia="en-AU"/>
              </w:rPr>
            </w:pPr>
          </w:p>
        </w:tc>
        <w:tc>
          <w:tcPr>
            <w:tcW w:w="384" w:type="pct"/>
            <w:tcBorders>
              <w:top w:val="dotted" w:sz="4" w:space="0" w:color="000000" w:themeColor="text1"/>
              <w:left w:val="nil"/>
              <w:bottom w:val="dotted" w:sz="4" w:space="0" w:color="000000" w:themeColor="text1"/>
              <w:right w:val="nil"/>
            </w:tcBorders>
            <w:noWrap/>
          </w:tcPr>
          <w:p w14:paraId="1CDFF2D9" w14:textId="77777777" w:rsidR="00A755CE" w:rsidRPr="005636C0" w:rsidRDefault="00A755CE" w:rsidP="00454C01">
            <w:pPr>
              <w:spacing w:after="0" w:line="360" w:lineRule="auto"/>
              <w:jc w:val="left"/>
              <w:rPr>
                <w:rFonts w:eastAsia="Times New Roman" w:cs="Times New Roman"/>
                <w:b/>
                <w:color w:val="FFFFFF"/>
                <w:sz w:val="18"/>
                <w:szCs w:val="18"/>
                <w:lang w:eastAsia="en-AU"/>
              </w:rPr>
            </w:pPr>
          </w:p>
        </w:tc>
        <w:tc>
          <w:tcPr>
            <w:tcW w:w="467" w:type="pct"/>
            <w:gridSpan w:val="2"/>
            <w:tcBorders>
              <w:top w:val="dotted" w:sz="4" w:space="0" w:color="000000" w:themeColor="text1"/>
              <w:left w:val="nil"/>
              <w:bottom w:val="dotted" w:sz="4" w:space="0" w:color="000000" w:themeColor="text1"/>
              <w:right w:val="nil"/>
            </w:tcBorders>
            <w:noWrap/>
          </w:tcPr>
          <w:p w14:paraId="5674284D" w14:textId="77777777" w:rsidR="00A755CE" w:rsidRPr="005636C0" w:rsidRDefault="00A755CE" w:rsidP="00454C01">
            <w:pPr>
              <w:spacing w:after="0" w:line="360" w:lineRule="auto"/>
              <w:jc w:val="left"/>
              <w:rPr>
                <w:rFonts w:eastAsia="Times New Roman" w:cs="Times New Roman"/>
                <w:b/>
                <w:color w:val="FFFFFF"/>
                <w:sz w:val="18"/>
                <w:szCs w:val="18"/>
                <w:lang w:eastAsia="en-AU"/>
              </w:rPr>
            </w:pPr>
          </w:p>
        </w:tc>
        <w:tc>
          <w:tcPr>
            <w:tcW w:w="385" w:type="pct"/>
            <w:tcBorders>
              <w:top w:val="dotted" w:sz="4" w:space="0" w:color="000000" w:themeColor="text1"/>
              <w:left w:val="nil"/>
              <w:bottom w:val="dotted" w:sz="4" w:space="0" w:color="000000" w:themeColor="text1"/>
              <w:right w:val="nil"/>
            </w:tcBorders>
            <w:shd w:val="clear" w:color="auto" w:fill="000000" w:themeFill="text1"/>
            <w:noWrap/>
          </w:tcPr>
          <w:p w14:paraId="413AF806" w14:textId="77777777" w:rsidR="00A755CE" w:rsidRPr="005636C0" w:rsidRDefault="00A755CE" w:rsidP="00454C01">
            <w:pPr>
              <w:spacing w:after="0" w:line="360" w:lineRule="auto"/>
              <w:rPr>
                <w:rFonts w:eastAsia="Times New Roman" w:cs="Times New Roman"/>
                <w:b/>
                <w:color w:val="000000"/>
                <w:sz w:val="18"/>
                <w:szCs w:val="18"/>
                <w:lang w:eastAsia="en-AU"/>
              </w:rPr>
            </w:pPr>
          </w:p>
        </w:tc>
        <w:tc>
          <w:tcPr>
            <w:tcW w:w="354" w:type="pct"/>
            <w:tcBorders>
              <w:top w:val="dotted" w:sz="4" w:space="0" w:color="000000" w:themeColor="text1"/>
              <w:left w:val="nil"/>
              <w:bottom w:val="dotted" w:sz="4" w:space="0" w:color="000000" w:themeColor="text1"/>
              <w:right w:val="nil"/>
            </w:tcBorders>
            <w:noWrap/>
            <w:hideMark/>
          </w:tcPr>
          <w:p w14:paraId="0E49E728" w14:textId="67C756FD" w:rsidR="00A755CE" w:rsidRPr="005636C0" w:rsidRDefault="00A755CE" w:rsidP="00454C01">
            <w:pPr>
              <w:spacing w:after="0" w:line="360" w:lineRule="auto"/>
              <w:rPr>
                <w:rFonts w:eastAsia="Times New Roman" w:cs="Times New Roman"/>
                <w:color w:val="000000"/>
                <w:sz w:val="18"/>
                <w:szCs w:val="18"/>
                <w:lang w:eastAsia="en-AU"/>
              </w:rPr>
            </w:pPr>
            <w:r w:rsidRPr="005636C0">
              <w:rPr>
                <w:rFonts w:cs="Times New Roman"/>
                <w:sz w:val="18"/>
                <w:szCs w:val="18"/>
              </w:rPr>
              <w:t>0.05</w:t>
            </w:r>
            <w:r w:rsidR="00AB2CEE">
              <w:rPr>
                <w:rFonts w:cs="Times New Roman"/>
                <w:sz w:val="18"/>
                <w:szCs w:val="18"/>
              </w:rPr>
              <w:br/>
            </w:r>
          </w:p>
        </w:tc>
      </w:tr>
      <w:tr w:rsidR="00AB2CEE" w14:paraId="2E7F196F" w14:textId="77777777" w:rsidTr="00AB2CEE">
        <w:trPr>
          <w:gridAfter w:val="2"/>
          <w:wAfter w:w="28" w:type="pct"/>
          <w:trHeight w:val="576"/>
        </w:trPr>
        <w:tc>
          <w:tcPr>
            <w:tcW w:w="651" w:type="pct"/>
            <w:vMerge/>
            <w:tcBorders>
              <w:top w:val="single" w:sz="4" w:space="0" w:color="auto"/>
              <w:left w:val="nil"/>
              <w:bottom w:val="single" w:sz="4" w:space="0" w:color="auto"/>
              <w:right w:val="single" w:sz="4" w:space="0" w:color="auto"/>
            </w:tcBorders>
            <w:hideMark/>
          </w:tcPr>
          <w:p w14:paraId="5A9567B6" w14:textId="77777777" w:rsidR="00A755CE" w:rsidRDefault="00A755CE" w:rsidP="00454C01">
            <w:pPr>
              <w:spacing w:after="0"/>
              <w:jc w:val="left"/>
              <w:rPr>
                <w:rFonts w:cs="Times New Roman"/>
                <w:b/>
                <w:bCs/>
                <w:color w:val="000000"/>
                <w:sz w:val="24"/>
                <w:szCs w:val="24"/>
                <w:lang w:val="en-AU"/>
              </w:rPr>
            </w:pPr>
          </w:p>
        </w:tc>
        <w:tc>
          <w:tcPr>
            <w:tcW w:w="652" w:type="pct"/>
            <w:tcBorders>
              <w:top w:val="nil"/>
              <w:left w:val="single" w:sz="4" w:space="0" w:color="auto"/>
              <w:bottom w:val="single" w:sz="4" w:space="0" w:color="auto"/>
              <w:right w:val="single" w:sz="4" w:space="0" w:color="auto"/>
            </w:tcBorders>
            <w:noWrap/>
            <w:hideMark/>
          </w:tcPr>
          <w:p w14:paraId="30B8A4A8" w14:textId="77777777" w:rsidR="00A755CE" w:rsidRPr="005636C0" w:rsidRDefault="00A755CE" w:rsidP="00454C01">
            <w:pPr>
              <w:spacing w:after="0" w:line="480" w:lineRule="auto"/>
              <w:jc w:val="left"/>
              <w:rPr>
                <w:rFonts w:cs="Times New Roman"/>
                <w:bCs/>
                <w:color w:val="000000"/>
                <w:sz w:val="16"/>
                <w:szCs w:val="16"/>
              </w:rPr>
            </w:pPr>
            <w:r w:rsidRPr="005636C0">
              <w:rPr>
                <w:rFonts w:cs="Times New Roman"/>
                <w:bCs/>
                <w:color w:val="000000"/>
                <w:sz w:val="16"/>
                <w:szCs w:val="16"/>
              </w:rPr>
              <w:t>T2w-SI</w:t>
            </w:r>
          </w:p>
        </w:tc>
        <w:tc>
          <w:tcPr>
            <w:tcW w:w="487" w:type="pct"/>
            <w:gridSpan w:val="2"/>
            <w:tcBorders>
              <w:top w:val="dotted" w:sz="4" w:space="0" w:color="000000" w:themeColor="text1"/>
              <w:left w:val="single" w:sz="4" w:space="0" w:color="auto"/>
              <w:bottom w:val="single" w:sz="4" w:space="0" w:color="auto"/>
              <w:right w:val="nil"/>
            </w:tcBorders>
            <w:noWrap/>
          </w:tcPr>
          <w:p w14:paraId="36919E51" w14:textId="77777777" w:rsidR="00A755CE" w:rsidRDefault="00A755CE" w:rsidP="00454C01">
            <w:pPr>
              <w:spacing w:after="0" w:line="360" w:lineRule="auto"/>
              <w:jc w:val="left"/>
              <w:rPr>
                <w:rFonts w:eastAsia="Times New Roman" w:cs="Times New Roman"/>
                <w:color w:val="FFFFFF"/>
                <w:sz w:val="24"/>
                <w:szCs w:val="24"/>
                <w:lang w:eastAsia="en-AU"/>
              </w:rPr>
            </w:pPr>
          </w:p>
        </w:tc>
        <w:tc>
          <w:tcPr>
            <w:tcW w:w="405" w:type="pct"/>
            <w:tcBorders>
              <w:top w:val="dotted" w:sz="4" w:space="0" w:color="000000" w:themeColor="text1"/>
              <w:left w:val="nil"/>
              <w:bottom w:val="single" w:sz="4" w:space="0" w:color="auto"/>
              <w:right w:val="nil"/>
            </w:tcBorders>
            <w:noWrap/>
          </w:tcPr>
          <w:p w14:paraId="0B7368BD" w14:textId="77777777" w:rsidR="00A755CE" w:rsidRPr="005636C0" w:rsidRDefault="00A755CE" w:rsidP="00454C01">
            <w:pPr>
              <w:spacing w:after="0" w:line="360" w:lineRule="auto"/>
              <w:jc w:val="left"/>
              <w:rPr>
                <w:rFonts w:eastAsia="Times New Roman" w:cs="Times New Roman"/>
                <w:b/>
                <w:color w:val="FFFFFF"/>
                <w:sz w:val="18"/>
                <w:szCs w:val="18"/>
                <w:lang w:eastAsia="en-AU"/>
              </w:rPr>
            </w:pPr>
          </w:p>
        </w:tc>
        <w:tc>
          <w:tcPr>
            <w:tcW w:w="323" w:type="pct"/>
            <w:tcBorders>
              <w:top w:val="dotted" w:sz="4" w:space="0" w:color="000000" w:themeColor="text1"/>
              <w:left w:val="nil"/>
              <w:bottom w:val="single" w:sz="4" w:space="0" w:color="auto"/>
              <w:right w:val="nil"/>
            </w:tcBorders>
            <w:noWrap/>
          </w:tcPr>
          <w:p w14:paraId="6585CFEF" w14:textId="77777777" w:rsidR="00A755CE" w:rsidRPr="005636C0" w:rsidRDefault="00A755CE" w:rsidP="00454C01">
            <w:pPr>
              <w:spacing w:after="0" w:line="360" w:lineRule="auto"/>
              <w:jc w:val="left"/>
              <w:rPr>
                <w:rFonts w:eastAsia="Times New Roman" w:cs="Times New Roman"/>
                <w:b/>
                <w:color w:val="FFFFFF"/>
                <w:sz w:val="18"/>
                <w:szCs w:val="18"/>
                <w:lang w:eastAsia="en-AU"/>
              </w:rPr>
            </w:pPr>
          </w:p>
        </w:tc>
        <w:tc>
          <w:tcPr>
            <w:tcW w:w="481" w:type="pct"/>
            <w:gridSpan w:val="2"/>
            <w:tcBorders>
              <w:top w:val="dotted" w:sz="4" w:space="0" w:color="000000" w:themeColor="text1"/>
              <w:left w:val="nil"/>
              <w:bottom w:val="single" w:sz="4" w:space="0" w:color="auto"/>
              <w:right w:val="nil"/>
            </w:tcBorders>
            <w:noWrap/>
          </w:tcPr>
          <w:p w14:paraId="5986E348" w14:textId="77777777" w:rsidR="00A755CE" w:rsidRPr="005636C0" w:rsidRDefault="00A755CE" w:rsidP="00454C01">
            <w:pPr>
              <w:spacing w:after="0" w:line="360" w:lineRule="auto"/>
              <w:jc w:val="left"/>
              <w:rPr>
                <w:rFonts w:eastAsia="Times New Roman" w:cs="Times New Roman"/>
                <w:b/>
                <w:color w:val="FFFFFF"/>
                <w:sz w:val="18"/>
                <w:szCs w:val="18"/>
                <w:lang w:eastAsia="en-AU"/>
              </w:rPr>
            </w:pPr>
          </w:p>
        </w:tc>
        <w:tc>
          <w:tcPr>
            <w:tcW w:w="384" w:type="pct"/>
            <w:tcBorders>
              <w:top w:val="dotted" w:sz="4" w:space="0" w:color="000000" w:themeColor="text1"/>
              <w:left w:val="nil"/>
              <w:bottom w:val="single" w:sz="4" w:space="0" w:color="auto"/>
              <w:right w:val="nil"/>
            </w:tcBorders>
            <w:noWrap/>
          </w:tcPr>
          <w:p w14:paraId="26CA2ABB" w14:textId="77777777" w:rsidR="00A755CE" w:rsidRPr="005636C0" w:rsidRDefault="00A755CE" w:rsidP="00454C01">
            <w:pPr>
              <w:spacing w:after="0" w:line="360" w:lineRule="auto"/>
              <w:jc w:val="left"/>
              <w:rPr>
                <w:rFonts w:eastAsia="Times New Roman" w:cs="Times New Roman"/>
                <w:b/>
                <w:color w:val="FFFFFF"/>
                <w:sz w:val="18"/>
                <w:szCs w:val="18"/>
                <w:lang w:eastAsia="en-AU"/>
              </w:rPr>
            </w:pPr>
          </w:p>
        </w:tc>
        <w:tc>
          <w:tcPr>
            <w:tcW w:w="384" w:type="pct"/>
            <w:tcBorders>
              <w:top w:val="dotted" w:sz="4" w:space="0" w:color="000000" w:themeColor="text1"/>
              <w:left w:val="nil"/>
              <w:bottom w:val="single" w:sz="4" w:space="0" w:color="auto"/>
              <w:right w:val="nil"/>
            </w:tcBorders>
            <w:noWrap/>
          </w:tcPr>
          <w:p w14:paraId="34D61F27" w14:textId="77777777" w:rsidR="00A755CE" w:rsidRPr="005636C0" w:rsidRDefault="00A755CE" w:rsidP="00454C01">
            <w:pPr>
              <w:spacing w:after="0" w:line="360" w:lineRule="auto"/>
              <w:jc w:val="left"/>
              <w:rPr>
                <w:rFonts w:eastAsia="Times New Roman" w:cs="Times New Roman"/>
                <w:b/>
                <w:color w:val="FFFFFF"/>
                <w:sz w:val="18"/>
                <w:szCs w:val="18"/>
                <w:lang w:eastAsia="en-AU"/>
              </w:rPr>
            </w:pPr>
          </w:p>
        </w:tc>
        <w:tc>
          <w:tcPr>
            <w:tcW w:w="467" w:type="pct"/>
            <w:gridSpan w:val="2"/>
            <w:tcBorders>
              <w:top w:val="dotted" w:sz="4" w:space="0" w:color="000000" w:themeColor="text1"/>
              <w:left w:val="nil"/>
              <w:bottom w:val="single" w:sz="4" w:space="0" w:color="auto"/>
              <w:right w:val="nil"/>
            </w:tcBorders>
            <w:noWrap/>
          </w:tcPr>
          <w:p w14:paraId="1575DF21" w14:textId="77777777" w:rsidR="00A755CE" w:rsidRPr="005636C0" w:rsidRDefault="00A755CE" w:rsidP="00454C01">
            <w:pPr>
              <w:spacing w:after="0" w:line="360" w:lineRule="auto"/>
              <w:jc w:val="left"/>
              <w:rPr>
                <w:rFonts w:eastAsia="Times New Roman" w:cs="Times New Roman"/>
                <w:b/>
                <w:color w:val="FFFFFF"/>
                <w:sz w:val="18"/>
                <w:szCs w:val="18"/>
                <w:lang w:eastAsia="en-AU"/>
              </w:rPr>
            </w:pPr>
          </w:p>
        </w:tc>
        <w:tc>
          <w:tcPr>
            <w:tcW w:w="385" w:type="pct"/>
            <w:tcBorders>
              <w:top w:val="dotted" w:sz="4" w:space="0" w:color="000000" w:themeColor="text1"/>
              <w:left w:val="nil"/>
              <w:bottom w:val="single" w:sz="4" w:space="0" w:color="auto"/>
              <w:right w:val="nil"/>
            </w:tcBorders>
            <w:noWrap/>
          </w:tcPr>
          <w:p w14:paraId="65FDC529" w14:textId="77777777" w:rsidR="00A755CE" w:rsidRPr="005636C0" w:rsidRDefault="00A755CE" w:rsidP="00454C01">
            <w:pPr>
              <w:spacing w:after="0" w:line="360" w:lineRule="auto"/>
              <w:jc w:val="left"/>
              <w:rPr>
                <w:rFonts w:eastAsia="Times New Roman" w:cs="Times New Roman"/>
                <w:b/>
                <w:color w:val="FFFFFF"/>
                <w:sz w:val="18"/>
                <w:szCs w:val="18"/>
                <w:lang w:eastAsia="en-AU"/>
              </w:rPr>
            </w:pPr>
          </w:p>
        </w:tc>
        <w:tc>
          <w:tcPr>
            <w:tcW w:w="354" w:type="pct"/>
            <w:tcBorders>
              <w:top w:val="dotted" w:sz="4" w:space="0" w:color="000000" w:themeColor="text1"/>
              <w:left w:val="nil"/>
              <w:bottom w:val="single" w:sz="4" w:space="0" w:color="auto"/>
              <w:right w:val="nil"/>
            </w:tcBorders>
            <w:shd w:val="clear" w:color="auto" w:fill="000000" w:themeFill="text1"/>
            <w:noWrap/>
          </w:tcPr>
          <w:p w14:paraId="53819D5F" w14:textId="77777777" w:rsidR="00A755CE" w:rsidRPr="005636C0" w:rsidRDefault="00A755CE" w:rsidP="00454C01">
            <w:pPr>
              <w:spacing w:after="0" w:line="360" w:lineRule="auto"/>
              <w:jc w:val="left"/>
              <w:rPr>
                <w:rFonts w:eastAsia="Times New Roman" w:cs="Times New Roman"/>
                <w:b/>
                <w:color w:val="000000"/>
                <w:sz w:val="18"/>
                <w:szCs w:val="18"/>
                <w:lang w:eastAsia="en-AU"/>
              </w:rPr>
            </w:pPr>
          </w:p>
        </w:tc>
      </w:tr>
    </w:tbl>
    <w:p w14:paraId="6551C98D" w14:textId="0206DEB0" w:rsidR="00156BCB" w:rsidRPr="00095192" w:rsidRDefault="004E53C4" w:rsidP="00095192">
      <w:pPr>
        <w:pStyle w:val="MDPI43tablefooter"/>
        <w:ind w:left="425" w:right="425"/>
      </w:pPr>
      <w:r w:rsidRPr="00095192">
        <w:t>Values are Pearson’s correlation co-efficient. Data from all IVDs T12/L1 to L5/S1 (606 discs from 101 subjects) presented. *: p &lt;0.</w:t>
      </w:r>
      <w:bookmarkStart w:id="14" w:name="_GoBack"/>
      <w:bookmarkEnd w:id="14"/>
      <w:r w:rsidRPr="00095192">
        <w:t>05; †: p &lt;0.01; ‡: p &lt;0.001 and indicate significance of the correlation. IVD: intervertebral disc; T2: relaxation time; T2w-SI: T2-weighted signal intensity.</w:t>
      </w:r>
    </w:p>
    <w:p w14:paraId="0DAE0E9A" w14:textId="77777777" w:rsidR="00156BCB" w:rsidRPr="00095192" w:rsidRDefault="00156BCB" w:rsidP="00095192">
      <w:pPr>
        <w:pStyle w:val="MDPI21heading1"/>
      </w:pPr>
      <w:r w:rsidRPr="00095192">
        <w:t>DISCUSSION</w:t>
      </w:r>
    </w:p>
    <w:p w14:paraId="6972DE65" w14:textId="77777777" w:rsidR="00156BCB" w:rsidRPr="00095192" w:rsidRDefault="00156BCB" w:rsidP="00095192">
      <w:pPr>
        <w:pStyle w:val="MDPI31text"/>
      </w:pPr>
      <w:r w:rsidRPr="00095192">
        <w:lastRenderedPageBreak/>
        <w:t xml:space="preserve">In this study, three quantitative MRI techniques (T2-mapping, T2w imaging and Dixon imaging) were used to characterize the IVDs in a young, asymptomatic, population with different training histories. Compared with T2w imaging, T2-mapping was the most sensitive technique to detect IVD changes. While there was a good correlation between the T2-mapping and the T2w imaging technique, only T2-mapping detected differences associated with physical activity history in cyclists, joggers and long-distance runners compared to sedentary referents. Also, only T2-mapping consistently distinguished between Pfirrmann grades 1 and 2. </w:t>
      </w:r>
    </w:p>
    <w:p w14:paraId="76CAA839" w14:textId="73CE7186" w:rsidR="00156BCB" w:rsidRPr="00E826A9" w:rsidRDefault="00156BCB" w:rsidP="00095192">
      <w:pPr>
        <w:pStyle w:val="MDPI31text"/>
      </w:pPr>
      <w:r w:rsidRPr="00454C01">
        <w:t xml:space="preserve">To our knowledge, this is the first work that evaluated the feasibility of the Dixon imaging technique to characterize IVD hydration. As shown in this study, long-distance runners presented significantly higher water content than the other groups. All groups displayed differences in the T2-value, but only in the long-distance runners did the IVD changes correspond to an increased water signal. </w:t>
      </w:r>
      <w:r w:rsidR="004247DB" w:rsidRPr="00454C01">
        <w:t xml:space="preserve">The </w:t>
      </w:r>
      <w:r w:rsidRPr="00454C01">
        <w:t>Dixon imag</w:t>
      </w:r>
      <w:r w:rsidR="004247DB" w:rsidRPr="00454C01">
        <w:t>es</w:t>
      </w:r>
      <w:r w:rsidRPr="00454C01">
        <w:t xml:space="preserve"> did not display large differences in the water content between nucleus pulposus and annulus fibrosus. In fact, the </w:t>
      </w:r>
      <w:r w:rsidR="004247DB" w:rsidRPr="00454C01">
        <w:t>images</w:t>
      </w:r>
      <w:r w:rsidRPr="00454C01">
        <w:t xml:space="preserve"> displayed only a slow variation across the IVD, contrary to the T2-map</w:t>
      </w:r>
      <w:r w:rsidR="004247DB" w:rsidRPr="00454C01">
        <w:t>s</w:t>
      </w:r>
      <w:r w:rsidRPr="00454C01">
        <w:t xml:space="preserve"> and T2w imag</w:t>
      </w:r>
      <w:r w:rsidR="004247DB" w:rsidRPr="00454C01">
        <w:t>es</w:t>
      </w:r>
      <w:r w:rsidRPr="00454C01">
        <w:t xml:space="preserve"> that display large drops at the outer edges of annulus fibrosus where the water is strongly bound to the extracellular matrix. This can be explained by Dixon imaging only detected the water content without reflecting the structure of the IVD matrix as </w:t>
      </w:r>
      <w:r w:rsidR="004247DB" w:rsidRPr="00454C01">
        <w:t>both</w:t>
      </w:r>
      <w:r w:rsidRPr="00454C01">
        <w:t xml:space="preserve"> T2 contrast techniques do. Moreover, Dixon imaging did not correlate with the Pfirrmann scoring</w:t>
      </w:r>
      <w:r w:rsidRPr="00095192">
        <w:t xml:space="preserve"> system or with the other MRI techniques. Hence, the technique characterized aspects of the IVD structure that complemented the information obtained by the other techniques. Previous studies on the impact of physical </w:t>
      </w:r>
      <w:r w:rsidRPr="00E826A9">
        <w:t>activity and inactivity on the spine in an asymptomatic population report significant differences in IVD height relative to the vertebral body in long-distance runners [</w:t>
      </w:r>
      <w:bookmarkStart w:id="15" w:name="_Hlk42256758"/>
      <w:r w:rsidR="006C7779" w:rsidRPr="00E826A9">
        <w:t>9</w:t>
      </w:r>
      <w:r w:rsidRPr="00E826A9">
        <w:t xml:space="preserve">; </w:t>
      </w:r>
      <w:r w:rsidR="006C7779" w:rsidRPr="00E826A9">
        <w:t>10</w:t>
      </w:r>
      <w:bookmarkEnd w:id="15"/>
      <w:r w:rsidRPr="00E826A9">
        <w:t xml:space="preserve">]. The increased height might be an indicator of IVD hypertrophy, measured as an increased water content in this cohort. Future studies are encouraged to </w:t>
      </w:r>
      <w:r w:rsidR="003F5CC1" w:rsidRPr="00E826A9">
        <w:t xml:space="preserve">validate this finding and </w:t>
      </w:r>
      <w:r w:rsidRPr="00E826A9">
        <w:t>investigate the additional value of including MRI techniques for water content quantification in spine examination protocol</w:t>
      </w:r>
      <w:r w:rsidR="00E164DD" w:rsidRPr="00E826A9">
        <w:t>s</w:t>
      </w:r>
      <w:r w:rsidRPr="00E826A9">
        <w:t xml:space="preserve">. </w:t>
      </w:r>
    </w:p>
    <w:p w14:paraId="40311292" w14:textId="67E1209A" w:rsidR="00454C01" w:rsidRPr="00095192" w:rsidRDefault="00454C01" w:rsidP="00454C01">
      <w:pPr>
        <w:pStyle w:val="MDPI31text"/>
      </w:pPr>
      <w:r w:rsidRPr="00E826A9">
        <w:rPr>
          <w:shd w:val="clear" w:color="auto" w:fill="FFFFFF" w:themeFill="background1"/>
        </w:rPr>
        <w:t>IVD images generated with T2-mapping display the water content of the IVD</w:t>
      </w:r>
      <w:r w:rsidRPr="00E826A9">
        <w:t xml:space="preserve"> [1</w:t>
      </w:r>
      <w:r w:rsidR="006C7779" w:rsidRPr="00E826A9">
        <w:t>8</w:t>
      </w:r>
      <w:r w:rsidRPr="00E826A9">
        <w:t xml:space="preserve">]. </w:t>
      </w:r>
      <w:r w:rsidR="0053747F">
        <w:t>The T2-time obtained by T2-mapping</w:t>
      </w:r>
      <w:r w:rsidR="0053747F" w:rsidRPr="00E826A9">
        <w:t xml:space="preserve"> </w:t>
      </w:r>
      <w:r w:rsidRPr="00E826A9">
        <w:t>has also been shown to depict the structural integrity of the disc matrix [1</w:t>
      </w:r>
      <w:r w:rsidR="006C7779" w:rsidRPr="00E826A9">
        <w:t>9</w:t>
      </w:r>
      <w:r w:rsidRPr="00E826A9">
        <w:t>], displaying a stronger correlation with collagen structure than with changes in the cartilage matrix of the IVD. Hence, both the whole IVD and the nucleus T2-values should be able to reflect changes due to IVD degeneration. Our findings confirmed this and showed high a correlation between IVD T2-times and degeneration according to the Pfirrmann scoring system. The significantly higher T2-times measured in physical trained individuals might indicate reduced IVD degeneration, as previously reported [</w:t>
      </w:r>
      <w:r w:rsidR="006C7779" w:rsidRPr="00E826A9">
        <w:t>9; 10</w:t>
      </w:r>
      <w:r w:rsidRPr="00E826A9">
        <w:t xml:space="preserve">]. </w:t>
      </w:r>
      <w:r w:rsidRPr="00E826A9">
        <w:rPr>
          <w:shd w:val="clear" w:color="auto" w:fill="FFFFFF" w:themeFill="background1"/>
        </w:rPr>
        <w:t>The T2w signal intensity also reflect the IVD T2-time, but only qualitatively. However, by normalizing the nucleus T2w signal with the annulus signal, the IVD evaluation was improved but with limited sensitivity compared with the T2-mapping technique.</w:t>
      </w:r>
      <w:r w:rsidRPr="00E826A9">
        <w:rPr>
          <w:shd w:val="clear" w:color="auto" w:fill="F2F2F2" w:themeFill="background1" w:themeFillShade="F2"/>
        </w:rPr>
        <w:t xml:space="preserve"> </w:t>
      </w:r>
      <w:r w:rsidRPr="00E826A9">
        <w:t>The limited sensitivity may stem from the heterogeneity of the coil sensitivity. Our findings suggest that T2-mapping should be the preferred T2 contrast technique to characterize preclinical degenerative IVD changes in asymptomatic individuals. This will permit research advances not only in determining risk factors for IVD degeneration with age or with various lifestyle and pathological situations but also allow intervention trials. Challenges with the T2-mapping technique prevent its implementation to clinical practice. T2-mapping is slower than current clinical T2w imaging techniques, taking approximately 10 minutes per scan, and complex postprocessing of the data is needed to model the MR signal into T2-time. However, advances in artificial intelligence may soon provide the clinician with</w:t>
      </w:r>
      <w:r w:rsidRPr="00095192">
        <w:t xml:space="preserve"> tools for time efficient and automated T2-mapping analyses.  </w:t>
      </w:r>
    </w:p>
    <w:p w14:paraId="5D4C017E" w14:textId="77777777" w:rsidR="00156BCB" w:rsidRPr="00095192" w:rsidRDefault="00156BCB" w:rsidP="00095192">
      <w:pPr>
        <w:pStyle w:val="MDPI22heading2"/>
      </w:pPr>
      <w:r w:rsidRPr="00095192">
        <w:t>Limitations</w:t>
      </w:r>
    </w:p>
    <w:p w14:paraId="47E23768" w14:textId="02CAF81C" w:rsidR="00156BCB" w:rsidRPr="00095192" w:rsidRDefault="00156BCB" w:rsidP="00095192">
      <w:pPr>
        <w:pStyle w:val="MDPI31text"/>
      </w:pPr>
      <w:r w:rsidRPr="00095192">
        <w:t xml:space="preserve">In this study, the whole IVDs were delineated in addition to five sub-regions, the central nucleus and the anterior and posterior annulus. Current MRI technology cannot produce images that precisely can separate nucleus from annulus. Therefore, it is possible that nucleus tissue was incorporated in the anterior and posterior subregions, labelled as annulus tissue. Anatomical-based manual segmentation was impractical for a study of over 100 patients using three MRI techniques measuring 6 IVD levels (909 disks). Therefore, multiple sagittal slices were segmented in 5 subregions </w:t>
      </w:r>
      <w:r w:rsidRPr="00095192">
        <w:lastRenderedPageBreak/>
        <w:t>[</w:t>
      </w:r>
      <w:r w:rsidR="006C7779">
        <w:t>20</w:t>
      </w:r>
      <w:r w:rsidRPr="00095192">
        <w:t>]. Since this limitation applied to all techniques and therefore should not affect the inter-technique comparisons, the main goal of our study. Only one radiologist determined the Pfirrmann grade of the IVDs based on published data of excellent interobserver agreement of the Pfirrmann scoring system [</w:t>
      </w:r>
      <w:r w:rsidR="006C7779">
        <w:t>21</w:t>
      </w:r>
      <w:r w:rsidRPr="00095192">
        <w:t>].</w:t>
      </w:r>
    </w:p>
    <w:p w14:paraId="4C747B8E" w14:textId="77777777" w:rsidR="00156BCB" w:rsidRPr="00095192" w:rsidRDefault="00156BCB" w:rsidP="00095192">
      <w:pPr>
        <w:pStyle w:val="MDPI21heading1"/>
      </w:pPr>
      <w:r w:rsidRPr="00095192">
        <w:t>CONCLUSIONS</w:t>
      </w:r>
    </w:p>
    <w:p w14:paraId="2BB4CA35" w14:textId="77777777" w:rsidR="00156BCB" w:rsidRPr="00095192" w:rsidRDefault="00156BCB" w:rsidP="00095192">
      <w:pPr>
        <w:pStyle w:val="MDPI31text"/>
        <w:rPr>
          <w:b/>
        </w:rPr>
      </w:pPr>
      <w:r w:rsidRPr="00095192">
        <w:t>Among the three quantitative techniques, T2-mapping best reflected changes in IVD degeneration according to the Pfirrmann scoring system. Most importantly, T2-mapping characterized IVD differences in individuals with different training histories. The Dixon imaging technique identified significantly higher water content in the IVDs of long-distance runners compared to the other training groups, probably associated with IVD hypertrophy. Also, Dixon displayed a weak correlation with the Pfirrmann scale and the other MRI techniques. Hence, Dixon may present information on new aspects of the IVD irrespective of matrix changes and add complementary information to the assessment and understanding of the biology of the IVD.</w:t>
      </w:r>
    </w:p>
    <w:p w14:paraId="51BE2201" w14:textId="77777777" w:rsidR="00156BCB" w:rsidRPr="00095192" w:rsidRDefault="00156BCB" w:rsidP="00095192">
      <w:pPr>
        <w:pStyle w:val="MDPI62Acknowledgments"/>
        <w:rPr>
          <w:rFonts w:eastAsia="SimSun"/>
        </w:rPr>
      </w:pPr>
      <w:r w:rsidRPr="00095192">
        <w:rPr>
          <w:b/>
          <w:bCs/>
        </w:rPr>
        <w:t>ACKNOWLEDGEMENTS</w:t>
      </w:r>
      <w:r w:rsidR="00095192" w:rsidRPr="00095192">
        <w:rPr>
          <w:b/>
          <w:bCs/>
        </w:rPr>
        <w:t xml:space="preserve">: </w:t>
      </w:r>
      <w:r w:rsidRPr="00095192">
        <w:t>The authors thank the participants for taking part in this study and the staff of Imaging at Olympic Park for their support implementing this study. Gerontology Research Center is a joint effort between the University of Jyvaskyla and the University of Tampere.</w:t>
      </w:r>
      <w:bookmarkStart w:id="16" w:name="_Hlk33985865"/>
      <w:r w:rsidR="00095192" w:rsidRPr="00095192">
        <w:t xml:space="preserve"> </w:t>
      </w:r>
      <w:r w:rsidRPr="00095192">
        <w:t>This project was supported by the School of Exercise and Nutrition Sciences, Deakin University (Grant ID: Belavy 2014-2017).</w:t>
      </w:r>
      <w:bookmarkEnd w:id="16"/>
    </w:p>
    <w:p w14:paraId="062B5689" w14:textId="77777777" w:rsidR="00156BCB" w:rsidRPr="00095192" w:rsidRDefault="00156BCB" w:rsidP="00095192">
      <w:pPr>
        <w:pStyle w:val="MDPI62Acknowledgments"/>
        <w:rPr>
          <w:rFonts w:eastAsia="SimSun"/>
          <w:b/>
          <w:bCs/>
        </w:rPr>
      </w:pPr>
      <w:r w:rsidRPr="00095192">
        <w:rPr>
          <w:b/>
          <w:bCs/>
        </w:rPr>
        <w:t>AUTHOR CONTRIBUTIONS</w:t>
      </w:r>
      <w:r w:rsidR="00095192" w:rsidRPr="00095192">
        <w:rPr>
          <w:b/>
          <w:bCs/>
        </w:rPr>
        <w:t xml:space="preserve">: </w:t>
      </w:r>
      <w:r w:rsidRPr="00095192">
        <w:rPr>
          <w:rFonts w:eastAsia="Calibri"/>
          <w:i/>
        </w:rPr>
        <w:t>Belavy</w:t>
      </w:r>
      <w:r w:rsidRPr="00095192">
        <w:rPr>
          <w:rFonts w:eastAsia="Calibri"/>
        </w:rPr>
        <w:t xml:space="preserve">: Secured funding. Conception and design of the experiments. Data and statistical analysis. Interpretation of the data. Drafting the article. Approving the final version of the manuscript. </w:t>
      </w:r>
      <w:r w:rsidRPr="00095192">
        <w:rPr>
          <w:rFonts w:eastAsia="Calibri"/>
          <w:i/>
        </w:rPr>
        <w:t>Brisby</w:t>
      </w:r>
      <w:r w:rsidRPr="00095192">
        <w:rPr>
          <w:rFonts w:eastAsia="Calibri"/>
        </w:rPr>
        <w:t xml:space="preserve">: Revising and approving the final version of the manuscript. </w:t>
      </w:r>
      <w:r w:rsidRPr="00095192">
        <w:rPr>
          <w:rFonts w:eastAsia="Calibri"/>
          <w:i/>
        </w:rPr>
        <w:t>Douglas</w:t>
      </w:r>
      <w:r w:rsidRPr="00095192">
        <w:rPr>
          <w:rFonts w:eastAsia="Calibri"/>
        </w:rPr>
        <w:t xml:space="preserve">: Data analysis. Statistical analysis. Interpretation of the data. Contribution to drafting the article. Critical revision of the manuscript. Approved final version of manuscript. </w:t>
      </w:r>
      <w:r w:rsidRPr="00095192">
        <w:rPr>
          <w:rFonts w:eastAsia="Calibri"/>
          <w:i/>
        </w:rPr>
        <w:t>Hebelka</w:t>
      </w:r>
      <w:r w:rsidRPr="00095192">
        <w:rPr>
          <w:rFonts w:eastAsia="Calibri"/>
        </w:rPr>
        <w:t xml:space="preserve">: Revising and approving the final version of the manuscript. </w:t>
      </w:r>
      <w:r w:rsidRPr="00095192">
        <w:rPr>
          <w:rFonts w:eastAsia="Calibri"/>
          <w:i/>
        </w:rPr>
        <w:t>Quittner</w:t>
      </w:r>
      <w:r w:rsidRPr="00095192">
        <w:rPr>
          <w:rFonts w:eastAsia="Calibri"/>
        </w:rPr>
        <w:t xml:space="preserve">: Subject recruitment. Data collection. Approved final version of manuscript. </w:t>
      </w:r>
      <w:r w:rsidRPr="00095192">
        <w:rPr>
          <w:rFonts w:eastAsia="Calibri"/>
          <w:i/>
        </w:rPr>
        <w:t>Owen</w:t>
      </w:r>
      <w:r w:rsidRPr="00095192">
        <w:rPr>
          <w:rFonts w:eastAsia="Calibri"/>
        </w:rPr>
        <w:t xml:space="preserve">: Data and statistical analysis, revising and approving the final version of the manuscript. </w:t>
      </w:r>
      <w:r w:rsidRPr="00095192">
        <w:rPr>
          <w:rFonts w:eastAsia="Calibri"/>
          <w:i/>
        </w:rPr>
        <w:t>Rantalainen</w:t>
      </w:r>
      <w:r w:rsidRPr="00095192">
        <w:rPr>
          <w:rFonts w:eastAsia="Calibri"/>
        </w:rPr>
        <w:t xml:space="preserve">: Conception and design of the experiments, data acquisition, revising and approving the final version of the manuscript. </w:t>
      </w:r>
      <w:r w:rsidRPr="00095192">
        <w:rPr>
          <w:rFonts w:eastAsia="Calibri"/>
          <w:i/>
        </w:rPr>
        <w:t>Trudel</w:t>
      </w:r>
      <w:r w:rsidRPr="00095192">
        <w:rPr>
          <w:rFonts w:eastAsia="Calibri"/>
        </w:rPr>
        <w:t xml:space="preserve">: Conception and design of spinal imaging, revising and approving the final version of the manuscript. </w:t>
      </w:r>
      <w:r w:rsidRPr="00095192">
        <w:rPr>
          <w:rFonts w:eastAsia="Calibri"/>
          <w:i/>
        </w:rPr>
        <w:t>Lagerstrand</w:t>
      </w:r>
      <w:r w:rsidRPr="00095192">
        <w:rPr>
          <w:rFonts w:eastAsia="Calibri"/>
        </w:rPr>
        <w:t>: Conception and design of the study/approaches to comparing MR techniques. Interpretation of the data. Drafting the article. Approving the final version of the manuscript</w:t>
      </w:r>
    </w:p>
    <w:p w14:paraId="47A374E6" w14:textId="77777777" w:rsidR="00156BCB" w:rsidRPr="00095192" w:rsidRDefault="00156BCB" w:rsidP="00095192">
      <w:pPr>
        <w:pStyle w:val="MDPI62Acknowledgments"/>
        <w:rPr>
          <w:b/>
          <w:bCs/>
        </w:rPr>
      </w:pPr>
      <w:r w:rsidRPr="00095192">
        <w:rPr>
          <w:b/>
          <w:bCs/>
        </w:rPr>
        <w:t>CONFLICTS OF INTEREST</w:t>
      </w:r>
      <w:r w:rsidR="00095192" w:rsidRPr="00095192">
        <w:rPr>
          <w:b/>
          <w:bCs/>
        </w:rPr>
        <w:t xml:space="preserve">: </w:t>
      </w:r>
      <w:r w:rsidRPr="00095192">
        <w:t>The authors declare no conflict of interest.</w:t>
      </w:r>
    </w:p>
    <w:p w14:paraId="64C87F0F" w14:textId="77777777" w:rsidR="00156BCB" w:rsidRPr="00095192" w:rsidRDefault="00156BCB" w:rsidP="00095192">
      <w:pPr>
        <w:pStyle w:val="MDPI21heading1"/>
      </w:pPr>
      <w:r w:rsidRPr="00095192">
        <w:t>REFERENCES</w:t>
      </w:r>
    </w:p>
    <w:p w14:paraId="7ABF44AD" w14:textId="77777777" w:rsidR="00156BCB" w:rsidRPr="00095192" w:rsidRDefault="00156BCB" w:rsidP="00095192">
      <w:pPr>
        <w:pStyle w:val="EndNoteBibliography"/>
        <w:adjustRightInd w:val="0"/>
        <w:snapToGrid w:val="0"/>
        <w:spacing w:after="0" w:line="260" w:lineRule="atLeast"/>
        <w:ind w:left="425" w:hanging="425"/>
        <w:rPr>
          <w:rFonts w:ascii="Palatino Linotype" w:hAnsi="Palatino Linotype" w:cs="Times New Roman"/>
          <w:noProof w:val="0"/>
          <w:sz w:val="18"/>
          <w:szCs w:val="18"/>
        </w:rPr>
      </w:pPr>
      <w:r w:rsidRPr="00095192">
        <w:rPr>
          <w:rFonts w:ascii="Palatino Linotype" w:hAnsi="Palatino Linotype" w:cs="Times New Roman"/>
          <w:noProof w:val="0"/>
          <w:sz w:val="18"/>
          <w:szCs w:val="18"/>
        </w:rPr>
        <w:t>1</w:t>
      </w:r>
      <w:r w:rsidRPr="00095192">
        <w:rPr>
          <w:rFonts w:ascii="Palatino Linotype" w:hAnsi="Palatino Linotype" w:cs="Times New Roman"/>
          <w:noProof w:val="0"/>
          <w:sz w:val="18"/>
          <w:szCs w:val="18"/>
        </w:rPr>
        <w:tab/>
        <w:t xml:space="preserve">Raj PP (2008) Intervertebral disc: anatomy-physiology-pathophysiology-treatment. Pain </w:t>
      </w:r>
      <w:proofErr w:type="spellStart"/>
      <w:r w:rsidRPr="00095192">
        <w:rPr>
          <w:rFonts w:ascii="Palatino Linotype" w:hAnsi="Palatino Linotype" w:cs="Times New Roman"/>
          <w:noProof w:val="0"/>
          <w:sz w:val="18"/>
          <w:szCs w:val="18"/>
        </w:rPr>
        <w:t>Pract</w:t>
      </w:r>
      <w:proofErr w:type="spellEnd"/>
      <w:r w:rsidRPr="00095192">
        <w:rPr>
          <w:rFonts w:ascii="Palatino Linotype" w:hAnsi="Palatino Linotype" w:cs="Times New Roman"/>
          <w:noProof w:val="0"/>
          <w:sz w:val="18"/>
          <w:szCs w:val="18"/>
        </w:rPr>
        <w:t xml:space="preserve"> 8:18-44</w:t>
      </w:r>
    </w:p>
    <w:p w14:paraId="16BAA613" w14:textId="77777777" w:rsidR="00156BCB" w:rsidRPr="00095192" w:rsidRDefault="00156BCB" w:rsidP="00095192">
      <w:pPr>
        <w:pStyle w:val="EndNoteBibliography"/>
        <w:adjustRightInd w:val="0"/>
        <w:snapToGrid w:val="0"/>
        <w:spacing w:after="0" w:line="260" w:lineRule="atLeast"/>
        <w:ind w:left="425" w:hanging="425"/>
        <w:rPr>
          <w:rFonts w:ascii="Palatino Linotype" w:hAnsi="Palatino Linotype" w:cs="Times New Roman"/>
          <w:noProof w:val="0"/>
          <w:sz w:val="18"/>
          <w:szCs w:val="18"/>
        </w:rPr>
      </w:pPr>
      <w:r w:rsidRPr="00095192">
        <w:rPr>
          <w:rFonts w:ascii="Palatino Linotype" w:hAnsi="Palatino Linotype" w:cs="Times New Roman"/>
          <w:noProof w:val="0"/>
          <w:sz w:val="18"/>
          <w:szCs w:val="18"/>
        </w:rPr>
        <w:t>2</w:t>
      </w:r>
      <w:r w:rsidRPr="00095192">
        <w:rPr>
          <w:rFonts w:ascii="Palatino Linotype" w:hAnsi="Palatino Linotype" w:cs="Times New Roman"/>
          <w:noProof w:val="0"/>
          <w:sz w:val="18"/>
          <w:szCs w:val="18"/>
        </w:rPr>
        <w:tab/>
        <w:t xml:space="preserve">Dowdell J, Erwin M, </w:t>
      </w:r>
      <w:proofErr w:type="spellStart"/>
      <w:r w:rsidRPr="00095192">
        <w:rPr>
          <w:rFonts w:ascii="Palatino Linotype" w:hAnsi="Palatino Linotype" w:cs="Times New Roman"/>
          <w:noProof w:val="0"/>
          <w:sz w:val="18"/>
          <w:szCs w:val="18"/>
        </w:rPr>
        <w:t>Choma</w:t>
      </w:r>
      <w:proofErr w:type="spellEnd"/>
      <w:r w:rsidRPr="00095192">
        <w:rPr>
          <w:rFonts w:ascii="Palatino Linotype" w:hAnsi="Palatino Linotype" w:cs="Times New Roman"/>
          <w:noProof w:val="0"/>
          <w:sz w:val="18"/>
          <w:szCs w:val="18"/>
        </w:rPr>
        <w:t xml:space="preserve"> T, Vaccaro A, </w:t>
      </w:r>
      <w:proofErr w:type="spellStart"/>
      <w:r w:rsidRPr="00095192">
        <w:rPr>
          <w:rFonts w:ascii="Palatino Linotype" w:hAnsi="Palatino Linotype" w:cs="Times New Roman"/>
          <w:noProof w:val="0"/>
          <w:sz w:val="18"/>
          <w:szCs w:val="18"/>
        </w:rPr>
        <w:t>Iatridis</w:t>
      </w:r>
      <w:proofErr w:type="spellEnd"/>
      <w:r w:rsidRPr="00095192">
        <w:rPr>
          <w:rFonts w:ascii="Palatino Linotype" w:hAnsi="Palatino Linotype" w:cs="Times New Roman"/>
          <w:noProof w:val="0"/>
          <w:sz w:val="18"/>
          <w:szCs w:val="18"/>
        </w:rPr>
        <w:t xml:space="preserve"> J, Cho SK (2017) Intervertebral Disk Degeneration and Repair. Neurosurgery </w:t>
      </w:r>
      <w:proofErr w:type="gramStart"/>
      <w:r w:rsidRPr="00095192">
        <w:rPr>
          <w:rFonts w:ascii="Palatino Linotype" w:hAnsi="Palatino Linotype" w:cs="Times New Roman"/>
          <w:noProof w:val="0"/>
          <w:sz w:val="18"/>
          <w:szCs w:val="18"/>
        </w:rPr>
        <w:t>80:S</w:t>
      </w:r>
      <w:proofErr w:type="gramEnd"/>
      <w:r w:rsidRPr="00095192">
        <w:rPr>
          <w:rFonts w:ascii="Palatino Linotype" w:hAnsi="Palatino Linotype" w:cs="Times New Roman"/>
          <w:noProof w:val="0"/>
          <w:sz w:val="18"/>
          <w:szCs w:val="18"/>
        </w:rPr>
        <w:t>46-S54</w:t>
      </w:r>
    </w:p>
    <w:p w14:paraId="1181D8E2" w14:textId="77777777" w:rsidR="00156BCB" w:rsidRPr="00095192" w:rsidRDefault="00156BCB" w:rsidP="00095192">
      <w:pPr>
        <w:pStyle w:val="EndNoteBibliography"/>
        <w:adjustRightInd w:val="0"/>
        <w:snapToGrid w:val="0"/>
        <w:spacing w:after="0" w:line="260" w:lineRule="atLeast"/>
        <w:ind w:left="425" w:hanging="425"/>
        <w:rPr>
          <w:rFonts w:ascii="Palatino Linotype" w:hAnsi="Palatino Linotype" w:cs="Times New Roman"/>
          <w:noProof w:val="0"/>
          <w:sz w:val="18"/>
          <w:szCs w:val="18"/>
        </w:rPr>
      </w:pPr>
      <w:r w:rsidRPr="00095192">
        <w:rPr>
          <w:rFonts w:ascii="Palatino Linotype" w:hAnsi="Palatino Linotype" w:cs="Times New Roman"/>
          <w:noProof w:val="0"/>
          <w:sz w:val="18"/>
          <w:szCs w:val="18"/>
        </w:rPr>
        <w:t>3</w:t>
      </w:r>
      <w:r w:rsidRPr="00095192">
        <w:rPr>
          <w:rFonts w:ascii="Palatino Linotype" w:hAnsi="Palatino Linotype" w:cs="Times New Roman"/>
          <w:noProof w:val="0"/>
          <w:sz w:val="18"/>
          <w:szCs w:val="18"/>
        </w:rPr>
        <w:tab/>
        <w:t xml:space="preserve">Boos N, </w:t>
      </w:r>
      <w:proofErr w:type="spellStart"/>
      <w:r w:rsidRPr="00095192">
        <w:rPr>
          <w:rFonts w:ascii="Palatino Linotype" w:hAnsi="Palatino Linotype" w:cs="Times New Roman"/>
          <w:noProof w:val="0"/>
          <w:sz w:val="18"/>
          <w:szCs w:val="18"/>
        </w:rPr>
        <w:t>Weissbach</w:t>
      </w:r>
      <w:proofErr w:type="spellEnd"/>
      <w:r w:rsidRPr="00095192">
        <w:rPr>
          <w:rFonts w:ascii="Palatino Linotype" w:hAnsi="Palatino Linotype" w:cs="Times New Roman"/>
          <w:noProof w:val="0"/>
          <w:sz w:val="18"/>
          <w:szCs w:val="18"/>
        </w:rPr>
        <w:t xml:space="preserve"> S, Rohrbach H, </w:t>
      </w:r>
      <w:proofErr w:type="spellStart"/>
      <w:r w:rsidRPr="00095192">
        <w:rPr>
          <w:rFonts w:ascii="Palatino Linotype" w:hAnsi="Palatino Linotype" w:cs="Times New Roman"/>
          <w:noProof w:val="0"/>
          <w:sz w:val="18"/>
          <w:szCs w:val="18"/>
        </w:rPr>
        <w:t>Weiler</w:t>
      </w:r>
      <w:proofErr w:type="spellEnd"/>
      <w:r w:rsidRPr="00095192">
        <w:rPr>
          <w:rFonts w:ascii="Palatino Linotype" w:hAnsi="Palatino Linotype" w:cs="Times New Roman"/>
          <w:noProof w:val="0"/>
          <w:sz w:val="18"/>
          <w:szCs w:val="18"/>
        </w:rPr>
        <w:t xml:space="preserve"> C, Spratt KF, </w:t>
      </w:r>
      <w:proofErr w:type="spellStart"/>
      <w:r w:rsidRPr="00095192">
        <w:rPr>
          <w:rFonts w:ascii="Palatino Linotype" w:hAnsi="Palatino Linotype" w:cs="Times New Roman"/>
          <w:noProof w:val="0"/>
          <w:sz w:val="18"/>
          <w:szCs w:val="18"/>
        </w:rPr>
        <w:t>Nerlich</w:t>
      </w:r>
      <w:proofErr w:type="spellEnd"/>
      <w:r w:rsidRPr="00095192">
        <w:rPr>
          <w:rFonts w:ascii="Palatino Linotype" w:hAnsi="Palatino Linotype" w:cs="Times New Roman"/>
          <w:noProof w:val="0"/>
          <w:sz w:val="18"/>
          <w:szCs w:val="18"/>
        </w:rPr>
        <w:t xml:space="preserve"> AG (2002) Classification of age-related changes in lumbar intervertebral discs: 2002 Volvo Award in basic science. Spine (Phila Pa 1976) 27:2631-2644</w:t>
      </w:r>
    </w:p>
    <w:p w14:paraId="3D6A0F7F" w14:textId="77777777" w:rsidR="00156BCB" w:rsidRPr="00095192" w:rsidRDefault="00156BCB" w:rsidP="00095192">
      <w:pPr>
        <w:pStyle w:val="EndNoteBibliography"/>
        <w:adjustRightInd w:val="0"/>
        <w:snapToGrid w:val="0"/>
        <w:spacing w:after="0" w:line="260" w:lineRule="atLeast"/>
        <w:ind w:left="425" w:hanging="425"/>
        <w:rPr>
          <w:rFonts w:ascii="Palatino Linotype" w:hAnsi="Palatino Linotype" w:cs="Times New Roman"/>
          <w:noProof w:val="0"/>
          <w:sz w:val="18"/>
          <w:szCs w:val="18"/>
        </w:rPr>
      </w:pPr>
      <w:r w:rsidRPr="00095192">
        <w:rPr>
          <w:rFonts w:ascii="Palatino Linotype" w:hAnsi="Palatino Linotype" w:cs="Times New Roman"/>
          <w:noProof w:val="0"/>
          <w:sz w:val="18"/>
          <w:szCs w:val="18"/>
        </w:rPr>
        <w:t>4</w:t>
      </w:r>
      <w:r w:rsidRPr="00095192">
        <w:rPr>
          <w:rFonts w:ascii="Palatino Linotype" w:hAnsi="Palatino Linotype" w:cs="Times New Roman"/>
          <w:noProof w:val="0"/>
          <w:sz w:val="18"/>
          <w:szCs w:val="18"/>
        </w:rPr>
        <w:tab/>
        <w:t xml:space="preserve">Pfirrmann CW, </w:t>
      </w:r>
      <w:proofErr w:type="spellStart"/>
      <w:r w:rsidRPr="00095192">
        <w:rPr>
          <w:rFonts w:ascii="Palatino Linotype" w:hAnsi="Palatino Linotype" w:cs="Times New Roman"/>
          <w:noProof w:val="0"/>
          <w:sz w:val="18"/>
          <w:szCs w:val="18"/>
        </w:rPr>
        <w:t>Metzdorf</w:t>
      </w:r>
      <w:proofErr w:type="spellEnd"/>
      <w:r w:rsidRPr="00095192">
        <w:rPr>
          <w:rFonts w:ascii="Palatino Linotype" w:hAnsi="Palatino Linotype" w:cs="Times New Roman"/>
          <w:noProof w:val="0"/>
          <w:sz w:val="18"/>
          <w:szCs w:val="18"/>
        </w:rPr>
        <w:t xml:space="preserve"> A, Zanetti M, </w:t>
      </w:r>
      <w:proofErr w:type="spellStart"/>
      <w:r w:rsidRPr="00095192">
        <w:rPr>
          <w:rFonts w:ascii="Palatino Linotype" w:hAnsi="Palatino Linotype" w:cs="Times New Roman"/>
          <w:noProof w:val="0"/>
          <w:sz w:val="18"/>
          <w:szCs w:val="18"/>
        </w:rPr>
        <w:t>Hodler</w:t>
      </w:r>
      <w:proofErr w:type="spellEnd"/>
      <w:r w:rsidRPr="00095192">
        <w:rPr>
          <w:rFonts w:ascii="Palatino Linotype" w:hAnsi="Palatino Linotype" w:cs="Times New Roman"/>
          <w:noProof w:val="0"/>
          <w:sz w:val="18"/>
          <w:szCs w:val="18"/>
        </w:rPr>
        <w:t xml:space="preserve"> J, Boos N (2001) Magnetic resonance classification of lumbar intervertebral disc degeneration. Spine (Phila Pa 1976) 26:1873-1878</w:t>
      </w:r>
    </w:p>
    <w:p w14:paraId="28E15A39" w14:textId="77777777" w:rsidR="00156BCB" w:rsidRPr="00095192" w:rsidRDefault="00156BCB" w:rsidP="00095192">
      <w:pPr>
        <w:pStyle w:val="EndNoteBibliography"/>
        <w:adjustRightInd w:val="0"/>
        <w:snapToGrid w:val="0"/>
        <w:spacing w:after="0" w:line="260" w:lineRule="atLeast"/>
        <w:ind w:left="425" w:hanging="425"/>
        <w:rPr>
          <w:rFonts w:ascii="Palatino Linotype" w:hAnsi="Palatino Linotype" w:cs="Times New Roman"/>
          <w:noProof w:val="0"/>
          <w:sz w:val="18"/>
          <w:szCs w:val="18"/>
        </w:rPr>
      </w:pPr>
      <w:r w:rsidRPr="00095192">
        <w:rPr>
          <w:rFonts w:ascii="Palatino Linotype" w:hAnsi="Palatino Linotype" w:cs="Times New Roman"/>
          <w:noProof w:val="0"/>
          <w:sz w:val="18"/>
          <w:szCs w:val="18"/>
        </w:rPr>
        <w:t>5</w:t>
      </w:r>
      <w:r w:rsidRPr="00095192">
        <w:rPr>
          <w:rFonts w:ascii="Palatino Linotype" w:hAnsi="Palatino Linotype" w:cs="Times New Roman"/>
          <w:noProof w:val="0"/>
          <w:sz w:val="18"/>
          <w:szCs w:val="18"/>
        </w:rPr>
        <w:tab/>
      </w:r>
      <w:proofErr w:type="spellStart"/>
      <w:r w:rsidRPr="00095192">
        <w:rPr>
          <w:rFonts w:ascii="Palatino Linotype" w:hAnsi="Palatino Linotype" w:cs="Times New Roman"/>
          <w:noProof w:val="0"/>
          <w:sz w:val="18"/>
          <w:szCs w:val="18"/>
        </w:rPr>
        <w:t>Samartzis</w:t>
      </w:r>
      <w:proofErr w:type="spellEnd"/>
      <w:r w:rsidRPr="00095192">
        <w:rPr>
          <w:rFonts w:ascii="Palatino Linotype" w:hAnsi="Palatino Linotype" w:cs="Times New Roman"/>
          <w:noProof w:val="0"/>
          <w:sz w:val="18"/>
          <w:szCs w:val="18"/>
        </w:rPr>
        <w:t xml:space="preserve"> D, </w:t>
      </w:r>
      <w:proofErr w:type="spellStart"/>
      <w:r w:rsidRPr="00095192">
        <w:rPr>
          <w:rFonts w:ascii="Palatino Linotype" w:hAnsi="Palatino Linotype" w:cs="Times New Roman"/>
          <w:noProof w:val="0"/>
          <w:sz w:val="18"/>
          <w:szCs w:val="18"/>
        </w:rPr>
        <w:t>Borthakur</w:t>
      </w:r>
      <w:proofErr w:type="spellEnd"/>
      <w:r w:rsidRPr="00095192">
        <w:rPr>
          <w:rFonts w:ascii="Palatino Linotype" w:hAnsi="Palatino Linotype" w:cs="Times New Roman"/>
          <w:noProof w:val="0"/>
          <w:sz w:val="18"/>
          <w:szCs w:val="18"/>
        </w:rPr>
        <w:t xml:space="preserve"> A, </w:t>
      </w:r>
      <w:proofErr w:type="spellStart"/>
      <w:r w:rsidRPr="00095192">
        <w:rPr>
          <w:rFonts w:ascii="Palatino Linotype" w:hAnsi="Palatino Linotype" w:cs="Times New Roman"/>
          <w:noProof w:val="0"/>
          <w:sz w:val="18"/>
          <w:szCs w:val="18"/>
        </w:rPr>
        <w:t>Belfer</w:t>
      </w:r>
      <w:proofErr w:type="spellEnd"/>
      <w:r w:rsidRPr="00095192">
        <w:rPr>
          <w:rFonts w:ascii="Palatino Linotype" w:hAnsi="Palatino Linotype" w:cs="Times New Roman"/>
          <w:noProof w:val="0"/>
          <w:sz w:val="18"/>
          <w:szCs w:val="18"/>
        </w:rPr>
        <w:t xml:space="preserve"> I et al (2015) Novel diagnostic and prognostic methods for disc degeneration and low back pain. Spine J 15:1919-1932</w:t>
      </w:r>
    </w:p>
    <w:p w14:paraId="684F0370" w14:textId="77777777" w:rsidR="00156BCB" w:rsidRPr="00E826A9" w:rsidRDefault="00156BCB" w:rsidP="00095192">
      <w:pPr>
        <w:pStyle w:val="EndNoteBibliography"/>
        <w:adjustRightInd w:val="0"/>
        <w:snapToGrid w:val="0"/>
        <w:spacing w:after="0" w:line="260" w:lineRule="atLeast"/>
        <w:ind w:left="425" w:hanging="425"/>
        <w:rPr>
          <w:rFonts w:ascii="Palatino Linotype" w:hAnsi="Palatino Linotype" w:cs="Times New Roman"/>
          <w:noProof w:val="0"/>
          <w:sz w:val="18"/>
          <w:szCs w:val="18"/>
        </w:rPr>
      </w:pPr>
      <w:r w:rsidRPr="00095192">
        <w:rPr>
          <w:rFonts w:ascii="Palatino Linotype" w:hAnsi="Palatino Linotype" w:cs="Times New Roman"/>
          <w:noProof w:val="0"/>
          <w:sz w:val="18"/>
          <w:szCs w:val="18"/>
        </w:rPr>
        <w:t>6</w:t>
      </w:r>
      <w:r w:rsidRPr="00095192">
        <w:rPr>
          <w:rFonts w:ascii="Palatino Linotype" w:hAnsi="Palatino Linotype" w:cs="Times New Roman"/>
          <w:noProof w:val="0"/>
          <w:sz w:val="18"/>
          <w:szCs w:val="18"/>
        </w:rPr>
        <w:tab/>
        <w:t xml:space="preserve">Waldenberg C, Hebelka H, Brisby H, Lagerstrand KM (2018) MRI histogram analysis enables objective and </w:t>
      </w:r>
      <w:r w:rsidRPr="00E826A9">
        <w:rPr>
          <w:rFonts w:ascii="Palatino Linotype" w:hAnsi="Palatino Linotype" w:cs="Times New Roman"/>
          <w:noProof w:val="0"/>
          <w:sz w:val="18"/>
          <w:szCs w:val="18"/>
        </w:rPr>
        <w:t>continuous classification of intervertebral disc degeneration. Eur Spine J 27:1042-1048</w:t>
      </w:r>
    </w:p>
    <w:p w14:paraId="3A43CB83" w14:textId="77777777" w:rsidR="00156BCB" w:rsidRPr="00E826A9" w:rsidRDefault="00156BCB" w:rsidP="00095192">
      <w:pPr>
        <w:pStyle w:val="EndNoteBibliography"/>
        <w:adjustRightInd w:val="0"/>
        <w:snapToGrid w:val="0"/>
        <w:spacing w:after="0" w:line="260" w:lineRule="atLeast"/>
        <w:ind w:left="425" w:hanging="425"/>
        <w:rPr>
          <w:rFonts w:ascii="Palatino Linotype" w:hAnsi="Palatino Linotype" w:cs="Times New Roman"/>
          <w:noProof w:val="0"/>
          <w:sz w:val="18"/>
          <w:szCs w:val="18"/>
        </w:rPr>
      </w:pPr>
      <w:r w:rsidRPr="00E826A9">
        <w:rPr>
          <w:rFonts w:ascii="Palatino Linotype" w:hAnsi="Palatino Linotype" w:cs="Times New Roman"/>
          <w:noProof w:val="0"/>
          <w:sz w:val="18"/>
          <w:szCs w:val="18"/>
        </w:rPr>
        <w:t>7</w:t>
      </w:r>
      <w:r w:rsidRPr="00E826A9">
        <w:rPr>
          <w:rFonts w:ascii="Palatino Linotype" w:hAnsi="Palatino Linotype" w:cs="Times New Roman"/>
          <w:noProof w:val="0"/>
          <w:sz w:val="18"/>
          <w:szCs w:val="18"/>
        </w:rPr>
        <w:tab/>
        <w:t>Belavy DL, Quittner MJ, Ridgers N, Ling Y, Connell D, Rantalainen T (2017) Running exercise strengthens the intervertebral disc. Sci Rep 7:45975</w:t>
      </w:r>
    </w:p>
    <w:p w14:paraId="55E322AD" w14:textId="3BDA3EFB" w:rsidR="00156BCB" w:rsidRPr="00E826A9" w:rsidRDefault="00156BCB" w:rsidP="00095192">
      <w:pPr>
        <w:pStyle w:val="EndNoteBibliography"/>
        <w:adjustRightInd w:val="0"/>
        <w:snapToGrid w:val="0"/>
        <w:spacing w:after="0" w:line="260" w:lineRule="atLeast"/>
        <w:ind w:left="425" w:hanging="425"/>
        <w:rPr>
          <w:rFonts w:ascii="Palatino Linotype" w:hAnsi="Palatino Linotype" w:cs="Times New Roman"/>
          <w:noProof w:val="0"/>
          <w:sz w:val="18"/>
          <w:szCs w:val="18"/>
        </w:rPr>
      </w:pPr>
      <w:r w:rsidRPr="00E826A9">
        <w:rPr>
          <w:rFonts w:ascii="Palatino Linotype" w:hAnsi="Palatino Linotype" w:cs="Times New Roman"/>
          <w:noProof w:val="0"/>
          <w:sz w:val="18"/>
          <w:szCs w:val="18"/>
        </w:rPr>
        <w:t>8</w:t>
      </w:r>
      <w:r w:rsidRPr="00E826A9">
        <w:rPr>
          <w:rFonts w:ascii="Palatino Linotype" w:hAnsi="Palatino Linotype" w:cs="Times New Roman"/>
          <w:noProof w:val="0"/>
          <w:sz w:val="18"/>
          <w:szCs w:val="18"/>
        </w:rPr>
        <w:tab/>
        <w:t xml:space="preserve">Belavy DL, Quittner M, Ridgers ND et al (2019) Beneficial Intervertebral Disc and Muscle Adaptations in High-Volume Road Cyclists. Med Sci Sports </w:t>
      </w:r>
      <w:proofErr w:type="spellStart"/>
      <w:r w:rsidRPr="00E826A9">
        <w:rPr>
          <w:rFonts w:ascii="Palatino Linotype" w:hAnsi="Palatino Linotype" w:cs="Times New Roman"/>
          <w:noProof w:val="0"/>
          <w:sz w:val="18"/>
          <w:szCs w:val="18"/>
        </w:rPr>
        <w:t>Exerc</w:t>
      </w:r>
      <w:proofErr w:type="spellEnd"/>
      <w:r w:rsidRPr="00E826A9">
        <w:rPr>
          <w:rFonts w:ascii="Palatino Linotype" w:hAnsi="Palatino Linotype" w:cs="Times New Roman"/>
          <w:noProof w:val="0"/>
          <w:sz w:val="18"/>
          <w:szCs w:val="18"/>
        </w:rPr>
        <w:t xml:space="preserve"> 51:211-217</w:t>
      </w:r>
    </w:p>
    <w:p w14:paraId="3EAEEEC9" w14:textId="1CECB14A" w:rsidR="006A6469" w:rsidRPr="00E826A9" w:rsidRDefault="006A6469" w:rsidP="00095192">
      <w:pPr>
        <w:pStyle w:val="EndNoteBibliography"/>
        <w:adjustRightInd w:val="0"/>
        <w:snapToGrid w:val="0"/>
        <w:spacing w:after="0" w:line="260" w:lineRule="atLeast"/>
        <w:ind w:left="425" w:hanging="425"/>
        <w:rPr>
          <w:rFonts w:ascii="Palatino Linotype" w:hAnsi="Palatino Linotype" w:cs="Times New Roman"/>
          <w:noProof w:val="0"/>
          <w:sz w:val="18"/>
          <w:szCs w:val="18"/>
        </w:rPr>
      </w:pPr>
      <w:r w:rsidRPr="00E826A9">
        <w:rPr>
          <w:rFonts w:ascii="Palatino Linotype" w:hAnsi="Palatino Linotype" w:cs="Times New Roman"/>
          <w:noProof w:val="0"/>
          <w:sz w:val="18"/>
          <w:szCs w:val="18"/>
        </w:rPr>
        <w:t>9.</w:t>
      </w:r>
      <w:r w:rsidRPr="00E826A9">
        <w:rPr>
          <w:rFonts w:ascii="Palatino Linotype" w:hAnsi="Palatino Linotype" w:cs="Times New Roman"/>
          <w:noProof w:val="0"/>
          <w:sz w:val="18"/>
          <w:szCs w:val="18"/>
        </w:rPr>
        <w:tab/>
        <w:t>Belavy DL, Albracht K, Bruggemann GP, Vergroesen PP, van Dieen JH (2016) Can Exercise Positively Influence the Intervertebral Disc? Sports Med 46:473-485</w:t>
      </w:r>
    </w:p>
    <w:p w14:paraId="3F5A3555" w14:textId="31D78FEF" w:rsidR="006A6469" w:rsidRPr="00E826A9" w:rsidRDefault="006A6469" w:rsidP="00095192">
      <w:pPr>
        <w:pStyle w:val="EndNoteBibliography"/>
        <w:adjustRightInd w:val="0"/>
        <w:snapToGrid w:val="0"/>
        <w:spacing w:after="0" w:line="260" w:lineRule="atLeast"/>
        <w:ind w:left="425" w:hanging="425"/>
        <w:rPr>
          <w:rFonts w:ascii="Palatino Linotype" w:hAnsi="Palatino Linotype" w:cs="Times New Roman"/>
          <w:noProof w:val="0"/>
          <w:sz w:val="18"/>
          <w:szCs w:val="18"/>
        </w:rPr>
      </w:pPr>
      <w:r w:rsidRPr="00E826A9">
        <w:rPr>
          <w:rFonts w:ascii="Palatino Linotype" w:hAnsi="Palatino Linotype" w:cs="Times New Roman"/>
          <w:noProof w:val="0"/>
          <w:sz w:val="18"/>
          <w:szCs w:val="18"/>
        </w:rPr>
        <w:t>10.</w:t>
      </w:r>
      <w:r w:rsidRPr="00E826A9">
        <w:rPr>
          <w:rFonts w:ascii="Palatino Linotype" w:hAnsi="Palatino Linotype" w:cs="Times New Roman"/>
          <w:noProof w:val="0"/>
          <w:sz w:val="18"/>
          <w:szCs w:val="18"/>
        </w:rPr>
        <w:tab/>
        <w:t xml:space="preserve">Owen PJ, Miller CT, Rantalainen T et al (2020) Exercise for the intervertebral disc: a 6-month </w:t>
      </w:r>
      <w:proofErr w:type="spellStart"/>
      <w:r w:rsidRPr="00E826A9">
        <w:rPr>
          <w:rFonts w:ascii="Palatino Linotype" w:hAnsi="Palatino Linotype" w:cs="Times New Roman"/>
          <w:noProof w:val="0"/>
          <w:sz w:val="18"/>
          <w:szCs w:val="18"/>
        </w:rPr>
        <w:t>randomised</w:t>
      </w:r>
      <w:proofErr w:type="spellEnd"/>
      <w:r w:rsidRPr="00E826A9">
        <w:rPr>
          <w:rFonts w:ascii="Palatino Linotype" w:hAnsi="Palatino Linotype" w:cs="Times New Roman"/>
          <w:noProof w:val="0"/>
          <w:sz w:val="18"/>
          <w:szCs w:val="18"/>
        </w:rPr>
        <w:t xml:space="preserve"> controlled trial in chronic low back pain. Eur Spine J. 10.1007/s00586-020-06379-7</w:t>
      </w:r>
    </w:p>
    <w:p w14:paraId="05B628A2" w14:textId="7EE84AC0" w:rsidR="00156BCB" w:rsidRPr="00E826A9" w:rsidRDefault="006C7779" w:rsidP="00095192">
      <w:pPr>
        <w:pStyle w:val="EndNoteBibliography"/>
        <w:adjustRightInd w:val="0"/>
        <w:snapToGrid w:val="0"/>
        <w:spacing w:after="0" w:line="260" w:lineRule="atLeast"/>
        <w:ind w:left="425" w:hanging="425"/>
        <w:rPr>
          <w:rFonts w:ascii="Palatino Linotype" w:hAnsi="Palatino Linotype" w:cs="Times New Roman"/>
          <w:noProof w:val="0"/>
          <w:sz w:val="18"/>
          <w:szCs w:val="18"/>
        </w:rPr>
      </w:pPr>
      <w:r w:rsidRPr="00E826A9">
        <w:rPr>
          <w:rFonts w:ascii="Palatino Linotype" w:hAnsi="Palatino Linotype" w:cs="Times New Roman"/>
          <w:noProof w:val="0"/>
          <w:sz w:val="18"/>
          <w:szCs w:val="18"/>
        </w:rPr>
        <w:lastRenderedPageBreak/>
        <w:t>11</w:t>
      </w:r>
      <w:r w:rsidR="00156BCB" w:rsidRPr="00E826A9">
        <w:rPr>
          <w:rFonts w:ascii="Palatino Linotype" w:hAnsi="Palatino Linotype" w:cs="Times New Roman"/>
          <w:noProof w:val="0"/>
          <w:sz w:val="18"/>
          <w:szCs w:val="18"/>
        </w:rPr>
        <w:tab/>
      </w:r>
      <w:proofErr w:type="spellStart"/>
      <w:r w:rsidR="00156BCB" w:rsidRPr="00E826A9">
        <w:rPr>
          <w:rFonts w:ascii="Palatino Linotype" w:hAnsi="Palatino Linotype" w:cs="Times New Roman"/>
          <w:noProof w:val="0"/>
          <w:sz w:val="18"/>
          <w:szCs w:val="18"/>
        </w:rPr>
        <w:t>Videman</w:t>
      </w:r>
      <w:proofErr w:type="spellEnd"/>
      <w:r w:rsidR="00156BCB" w:rsidRPr="00E826A9">
        <w:rPr>
          <w:rFonts w:ascii="Palatino Linotype" w:hAnsi="Palatino Linotype" w:cs="Times New Roman"/>
          <w:noProof w:val="0"/>
          <w:sz w:val="18"/>
          <w:szCs w:val="18"/>
        </w:rPr>
        <w:t xml:space="preserve"> T, Gibbons LE, </w:t>
      </w:r>
      <w:proofErr w:type="spellStart"/>
      <w:r w:rsidR="00156BCB" w:rsidRPr="00E826A9">
        <w:rPr>
          <w:rFonts w:ascii="Palatino Linotype" w:hAnsi="Palatino Linotype" w:cs="Times New Roman"/>
          <w:noProof w:val="0"/>
          <w:sz w:val="18"/>
          <w:szCs w:val="18"/>
        </w:rPr>
        <w:t>Kaprio</w:t>
      </w:r>
      <w:proofErr w:type="spellEnd"/>
      <w:r w:rsidR="00156BCB" w:rsidRPr="00E826A9">
        <w:rPr>
          <w:rFonts w:ascii="Palatino Linotype" w:hAnsi="Palatino Linotype" w:cs="Times New Roman"/>
          <w:noProof w:val="0"/>
          <w:sz w:val="18"/>
          <w:szCs w:val="18"/>
        </w:rPr>
        <w:t xml:space="preserve"> J, </w:t>
      </w:r>
      <w:proofErr w:type="spellStart"/>
      <w:r w:rsidR="00156BCB" w:rsidRPr="00E826A9">
        <w:rPr>
          <w:rFonts w:ascii="Palatino Linotype" w:hAnsi="Palatino Linotype" w:cs="Times New Roman"/>
          <w:noProof w:val="0"/>
          <w:sz w:val="18"/>
          <w:szCs w:val="18"/>
        </w:rPr>
        <w:t>Battie</w:t>
      </w:r>
      <w:proofErr w:type="spellEnd"/>
      <w:r w:rsidR="00156BCB" w:rsidRPr="00E826A9">
        <w:rPr>
          <w:rFonts w:ascii="Palatino Linotype" w:hAnsi="Palatino Linotype" w:cs="Times New Roman"/>
          <w:noProof w:val="0"/>
          <w:sz w:val="18"/>
          <w:szCs w:val="18"/>
        </w:rPr>
        <w:t xml:space="preserve"> MC (2010) Challenging the cumulative injury model: positive effects of greater body mass on disc degeneration. Spine J 10:26-31</w:t>
      </w:r>
    </w:p>
    <w:p w14:paraId="384183E7" w14:textId="7CFBF817" w:rsidR="00156BCB" w:rsidRPr="00095192" w:rsidRDefault="006C7779" w:rsidP="00095192">
      <w:pPr>
        <w:pStyle w:val="EndNoteBibliography"/>
        <w:adjustRightInd w:val="0"/>
        <w:snapToGrid w:val="0"/>
        <w:spacing w:after="0" w:line="260" w:lineRule="atLeast"/>
        <w:ind w:left="425" w:hanging="425"/>
        <w:rPr>
          <w:rFonts w:ascii="Palatino Linotype" w:hAnsi="Palatino Linotype" w:cs="Times New Roman"/>
          <w:noProof w:val="0"/>
          <w:sz w:val="18"/>
          <w:szCs w:val="18"/>
        </w:rPr>
      </w:pPr>
      <w:r w:rsidRPr="00E826A9">
        <w:rPr>
          <w:rFonts w:ascii="Palatino Linotype" w:hAnsi="Palatino Linotype" w:cs="Times New Roman"/>
          <w:noProof w:val="0"/>
          <w:sz w:val="18"/>
          <w:szCs w:val="18"/>
        </w:rPr>
        <w:t>12</w:t>
      </w:r>
      <w:r w:rsidR="00156BCB" w:rsidRPr="00E826A9">
        <w:rPr>
          <w:rFonts w:ascii="Palatino Linotype" w:hAnsi="Palatino Linotype" w:cs="Times New Roman"/>
          <w:noProof w:val="0"/>
          <w:sz w:val="18"/>
          <w:szCs w:val="18"/>
        </w:rPr>
        <w:tab/>
      </w:r>
      <w:proofErr w:type="spellStart"/>
      <w:r w:rsidR="00156BCB" w:rsidRPr="00E826A9">
        <w:rPr>
          <w:rFonts w:ascii="Palatino Linotype" w:hAnsi="Palatino Linotype" w:cs="Times New Roman"/>
          <w:noProof w:val="0"/>
          <w:sz w:val="18"/>
          <w:szCs w:val="18"/>
        </w:rPr>
        <w:t>Luoma</w:t>
      </w:r>
      <w:proofErr w:type="spellEnd"/>
      <w:r w:rsidR="00156BCB" w:rsidRPr="00E826A9">
        <w:rPr>
          <w:rFonts w:ascii="Palatino Linotype" w:hAnsi="Palatino Linotype" w:cs="Times New Roman"/>
          <w:noProof w:val="0"/>
          <w:sz w:val="18"/>
          <w:szCs w:val="18"/>
        </w:rPr>
        <w:t xml:space="preserve"> K, </w:t>
      </w:r>
      <w:proofErr w:type="spellStart"/>
      <w:r w:rsidR="00156BCB" w:rsidRPr="00E826A9">
        <w:rPr>
          <w:rFonts w:ascii="Palatino Linotype" w:hAnsi="Palatino Linotype" w:cs="Times New Roman"/>
          <w:noProof w:val="0"/>
          <w:sz w:val="18"/>
          <w:szCs w:val="18"/>
        </w:rPr>
        <w:t>Vehmas</w:t>
      </w:r>
      <w:proofErr w:type="spellEnd"/>
      <w:r w:rsidR="00156BCB" w:rsidRPr="00E826A9">
        <w:rPr>
          <w:rFonts w:ascii="Palatino Linotype" w:hAnsi="Palatino Linotype" w:cs="Times New Roman"/>
          <w:noProof w:val="0"/>
          <w:sz w:val="18"/>
          <w:szCs w:val="18"/>
        </w:rPr>
        <w:t xml:space="preserve"> T, </w:t>
      </w:r>
      <w:proofErr w:type="spellStart"/>
      <w:r w:rsidR="00156BCB" w:rsidRPr="00E826A9">
        <w:rPr>
          <w:rFonts w:ascii="Palatino Linotype" w:hAnsi="Palatino Linotype" w:cs="Times New Roman"/>
          <w:noProof w:val="0"/>
          <w:sz w:val="18"/>
          <w:szCs w:val="18"/>
        </w:rPr>
        <w:t>Riihimaki</w:t>
      </w:r>
      <w:proofErr w:type="spellEnd"/>
      <w:r w:rsidR="00156BCB" w:rsidRPr="00E826A9">
        <w:rPr>
          <w:rFonts w:ascii="Palatino Linotype" w:hAnsi="Palatino Linotype" w:cs="Times New Roman"/>
          <w:noProof w:val="0"/>
          <w:sz w:val="18"/>
          <w:szCs w:val="18"/>
        </w:rPr>
        <w:t xml:space="preserve"> H, </w:t>
      </w:r>
      <w:proofErr w:type="spellStart"/>
      <w:r w:rsidR="00156BCB" w:rsidRPr="00E826A9">
        <w:rPr>
          <w:rFonts w:ascii="Palatino Linotype" w:hAnsi="Palatino Linotype" w:cs="Times New Roman"/>
          <w:noProof w:val="0"/>
          <w:sz w:val="18"/>
          <w:szCs w:val="18"/>
        </w:rPr>
        <w:t>Raininko</w:t>
      </w:r>
      <w:proofErr w:type="spellEnd"/>
      <w:r w:rsidR="00156BCB" w:rsidRPr="00E826A9">
        <w:rPr>
          <w:rFonts w:ascii="Palatino Linotype" w:hAnsi="Palatino Linotype" w:cs="Times New Roman"/>
          <w:noProof w:val="0"/>
          <w:sz w:val="18"/>
          <w:szCs w:val="18"/>
        </w:rPr>
        <w:t xml:space="preserve"> R (2001) Disc height and signal intensity</w:t>
      </w:r>
      <w:r w:rsidR="00156BCB" w:rsidRPr="00095192">
        <w:rPr>
          <w:rFonts w:ascii="Palatino Linotype" w:hAnsi="Palatino Linotype" w:cs="Times New Roman"/>
          <w:noProof w:val="0"/>
          <w:sz w:val="18"/>
          <w:szCs w:val="18"/>
        </w:rPr>
        <w:t xml:space="preserve"> of the nucleus pulposus on magnetic resonance imaging as indicators of lumbar disc degeneration. Spine (Phila Pa 1976) 26:680-686</w:t>
      </w:r>
    </w:p>
    <w:p w14:paraId="446DFF79" w14:textId="33E047F7" w:rsidR="00156BCB" w:rsidRPr="00095192" w:rsidRDefault="006C7779" w:rsidP="00095192">
      <w:pPr>
        <w:pStyle w:val="EndNoteBibliography"/>
        <w:adjustRightInd w:val="0"/>
        <w:snapToGrid w:val="0"/>
        <w:spacing w:after="0" w:line="260" w:lineRule="atLeast"/>
        <w:ind w:left="425" w:hanging="425"/>
        <w:rPr>
          <w:rFonts w:ascii="Palatino Linotype" w:hAnsi="Palatino Linotype" w:cs="Times New Roman"/>
          <w:noProof w:val="0"/>
          <w:sz w:val="18"/>
          <w:szCs w:val="18"/>
        </w:rPr>
      </w:pPr>
      <w:r>
        <w:rPr>
          <w:rFonts w:ascii="Palatino Linotype" w:hAnsi="Palatino Linotype" w:cs="Times New Roman"/>
          <w:noProof w:val="0"/>
          <w:sz w:val="18"/>
          <w:szCs w:val="18"/>
        </w:rPr>
        <w:t>13</w:t>
      </w:r>
      <w:r w:rsidR="00156BCB" w:rsidRPr="00095192">
        <w:rPr>
          <w:rFonts w:ascii="Palatino Linotype" w:hAnsi="Palatino Linotype" w:cs="Times New Roman"/>
          <w:noProof w:val="0"/>
          <w:sz w:val="18"/>
          <w:szCs w:val="18"/>
        </w:rPr>
        <w:tab/>
      </w:r>
      <w:proofErr w:type="spellStart"/>
      <w:r w:rsidR="00156BCB" w:rsidRPr="00095192">
        <w:rPr>
          <w:rFonts w:ascii="Palatino Linotype" w:hAnsi="Palatino Linotype" w:cs="Times New Roman"/>
          <w:noProof w:val="0"/>
          <w:sz w:val="18"/>
          <w:szCs w:val="18"/>
        </w:rPr>
        <w:t>Tertti</w:t>
      </w:r>
      <w:proofErr w:type="spellEnd"/>
      <w:r w:rsidR="00156BCB" w:rsidRPr="00095192">
        <w:rPr>
          <w:rFonts w:ascii="Palatino Linotype" w:hAnsi="Palatino Linotype" w:cs="Times New Roman"/>
          <w:noProof w:val="0"/>
          <w:sz w:val="18"/>
          <w:szCs w:val="18"/>
        </w:rPr>
        <w:t xml:space="preserve"> M, </w:t>
      </w:r>
      <w:proofErr w:type="spellStart"/>
      <w:r w:rsidR="00156BCB" w:rsidRPr="00095192">
        <w:rPr>
          <w:rFonts w:ascii="Palatino Linotype" w:hAnsi="Palatino Linotype" w:cs="Times New Roman"/>
          <w:noProof w:val="0"/>
          <w:sz w:val="18"/>
          <w:szCs w:val="18"/>
        </w:rPr>
        <w:t>Paajanen</w:t>
      </w:r>
      <w:proofErr w:type="spellEnd"/>
      <w:r w:rsidR="00156BCB" w:rsidRPr="00095192">
        <w:rPr>
          <w:rFonts w:ascii="Palatino Linotype" w:hAnsi="Palatino Linotype" w:cs="Times New Roman"/>
          <w:noProof w:val="0"/>
          <w:sz w:val="18"/>
          <w:szCs w:val="18"/>
        </w:rPr>
        <w:t xml:space="preserve"> H, </w:t>
      </w:r>
      <w:proofErr w:type="spellStart"/>
      <w:r w:rsidR="00156BCB" w:rsidRPr="00095192">
        <w:rPr>
          <w:rFonts w:ascii="Palatino Linotype" w:hAnsi="Palatino Linotype" w:cs="Times New Roman"/>
          <w:noProof w:val="0"/>
          <w:sz w:val="18"/>
          <w:szCs w:val="18"/>
        </w:rPr>
        <w:t>Laato</w:t>
      </w:r>
      <w:proofErr w:type="spellEnd"/>
      <w:r w:rsidR="00156BCB" w:rsidRPr="00095192">
        <w:rPr>
          <w:rFonts w:ascii="Palatino Linotype" w:hAnsi="Palatino Linotype" w:cs="Times New Roman"/>
          <w:noProof w:val="0"/>
          <w:sz w:val="18"/>
          <w:szCs w:val="18"/>
        </w:rPr>
        <w:t xml:space="preserve"> M, </w:t>
      </w:r>
      <w:proofErr w:type="spellStart"/>
      <w:r w:rsidR="00156BCB" w:rsidRPr="00095192">
        <w:rPr>
          <w:rFonts w:ascii="Palatino Linotype" w:hAnsi="Palatino Linotype" w:cs="Times New Roman"/>
          <w:noProof w:val="0"/>
          <w:sz w:val="18"/>
          <w:szCs w:val="18"/>
        </w:rPr>
        <w:t>Aho</w:t>
      </w:r>
      <w:proofErr w:type="spellEnd"/>
      <w:r w:rsidR="00156BCB" w:rsidRPr="00095192">
        <w:rPr>
          <w:rFonts w:ascii="Palatino Linotype" w:hAnsi="Palatino Linotype" w:cs="Times New Roman"/>
          <w:noProof w:val="0"/>
          <w:sz w:val="18"/>
          <w:szCs w:val="18"/>
        </w:rPr>
        <w:t xml:space="preserve"> H, </w:t>
      </w:r>
      <w:proofErr w:type="spellStart"/>
      <w:r w:rsidR="00156BCB" w:rsidRPr="00095192">
        <w:rPr>
          <w:rFonts w:ascii="Palatino Linotype" w:hAnsi="Palatino Linotype" w:cs="Times New Roman"/>
          <w:noProof w:val="0"/>
          <w:sz w:val="18"/>
          <w:szCs w:val="18"/>
        </w:rPr>
        <w:t>Komu</w:t>
      </w:r>
      <w:proofErr w:type="spellEnd"/>
      <w:r w:rsidR="00156BCB" w:rsidRPr="00095192">
        <w:rPr>
          <w:rFonts w:ascii="Palatino Linotype" w:hAnsi="Palatino Linotype" w:cs="Times New Roman"/>
          <w:noProof w:val="0"/>
          <w:sz w:val="18"/>
          <w:szCs w:val="18"/>
        </w:rPr>
        <w:t xml:space="preserve"> M, </w:t>
      </w:r>
      <w:proofErr w:type="spellStart"/>
      <w:r w:rsidR="00156BCB" w:rsidRPr="00095192">
        <w:rPr>
          <w:rFonts w:ascii="Palatino Linotype" w:hAnsi="Palatino Linotype" w:cs="Times New Roman"/>
          <w:noProof w:val="0"/>
          <w:sz w:val="18"/>
          <w:szCs w:val="18"/>
        </w:rPr>
        <w:t>Kormano</w:t>
      </w:r>
      <w:proofErr w:type="spellEnd"/>
      <w:r w:rsidR="00156BCB" w:rsidRPr="00095192">
        <w:rPr>
          <w:rFonts w:ascii="Palatino Linotype" w:hAnsi="Palatino Linotype" w:cs="Times New Roman"/>
          <w:noProof w:val="0"/>
          <w:sz w:val="18"/>
          <w:szCs w:val="18"/>
        </w:rPr>
        <w:t xml:space="preserve"> M (1991) Disc degeneration in magnetic resonance imaging. A comparative biochemical, histologic, and radiologic study in cadaver spines. Spine (Phila Pa 1976) 16:629-634</w:t>
      </w:r>
    </w:p>
    <w:p w14:paraId="4AEE9488" w14:textId="1B600821" w:rsidR="00156BCB" w:rsidRPr="00095192" w:rsidRDefault="006C7779" w:rsidP="00095192">
      <w:pPr>
        <w:pStyle w:val="EndNoteBibliography"/>
        <w:adjustRightInd w:val="0"/>
        <w:snapToGrid w:val="0"/>
        <w:spacing w:after="0" w:line="260" w:lineRule="atLeast"/>
        <w:ind w:left="425" w:hanging="425"/>
        <w:rPr>
          <w:rFonts w:ascii="Palatino Linotype" w:hAnsi="Palatino Linotype" w:cs="Times New Roman"/>
          <w:noProof w:val="0"/>
          <w:sz w:val="18"/>
          <w:szCs w:val="18"/>
        </w:rPr>
      </w:pPr>
      <w:r>
        <w:rPr>
          <w:rFonts w:ascii="Palatino Linotype" w:hAnsi="Palatino Linotype" w:cs="Times New Roman"/>
          <w:noProof w:val="0"/>
          <w:sz w:val="18"/>
          <w:szCs w:val="18"/>
        </w:rPr>
        <w:t>14</w:t>
      </w:r>
      <w:r w:rsidR="00156BCB" w:rsidRPr="00095192">
        <w:rPr>
          <w:rFonts w:ascii="Palatino Linotype" w:hAnsi="Palatino Linotype" w:cs="Times New Roman"/>
          <w:noProof w:val="0"/>
          <w:sz w:val="18"/>
          <w:szCs w:val="18"/>
        </w:rPr>
        <w:tab/>
      </w:r>
      <w:proofErr w:type="spellStart"/>
      <w:r w:rsidR="00156BCB" w:rsidRPr="00095192">
        <w:rPr>
          <w:rFonts w:ascii="Palatino Linotype" w:hAnsi="Palatino Linotype" w:cs="Times New Roman"/>
          <w:noProof w:val="0"/>
          <w:sz w:val="18"/>
          <w:szCs w:val="18"/>
        </w:rPr>
        <w:t>Mwale</w:t>
      </w:r>
      <w:proofErr w:type="spellEnd"/>
      <w:r w:rsidR="00156BCB" w:rsidRPr="00095192">
        <w:rPr>
          <w:rFonts w:ascii="Palatino Linotype" w:hAnsi="Palatino Linotype" w:cs="Times New Roman"/>
          <w:noProof w:val="0"/>
          <w:sz w:val="18"/>
          <w:szCs w:val="18"/>
        </w:rPr>
        <w:t xml:space="preserve"> F, </w:t>
      </w:r>
      <w:proofErr w:type="spellStart"/>
      <w:r w:rsidR="00156BCB" w:rsidRPr="00095192">
        <w:rPr>
          <w:rFonts w:ascii="Palatino Linotype" w:hAnsi="Palatino Linotype" w:cs="Times New Roman"/>
          <w:noProof w:val="0"/>
          <w:sz w:val="18"/>
          <w:szCs w:val="18"/>
        </w:rPr>
        <w:t>Iatridis</w:t>
      </w:r>
      <w:proofErr w:type="spellEnd"/>
      <w:r w:rsidR="00156BCB" w:rsidRPr="00095192">
        <w:rPr>
          <w:rFonts w:ascii="Palatino Linotype" w:hAnsi="Palatino Linotype" w:cs="Times New Roman"/>
          <w:noProof w:val="0"/>
          <w:sz w:val="18"/>
          <w:szCs w:val="18"/>
        </w:rPr>
        <w:t xml:space="preserve"> JC, Antoniou J (2008) Quantitative MRI as a diagnostic tool of intervertebral disc matrix composition and integrity. Eur Spine J 17 Suppl 4:432-440</w:t>
      </w:r>
    </w:p>
    <w:p w14:paraId="3DC4FB80" w14:textId="38CA27FA" w:rsidR="00156BCB" w:rsidRPr="00095192" w:rsidRDefault="006C7779" w:rsidP="00095192">
      <w:pPr>
        <w:pStyle w:val="EndNoteBibliography"/>
        <w:adjustRightInd w:val="0"/>
        <w:snapToGrid w:val="0"/>
        <w:spacing w:after="0" w:line="260" w:lineRule="atLeast"/>
        <w:ind w:left="425" w:hanging="425"/>
        <w:rPr>
          <w:rFonts w:ascii="Palatino Linotype" w:hAnsi="Palatino Linotype" w:cs="Times New Roman"/>
          <w:noProof w:val="0"/>
          <w:sz w:val="18"/>
          <w:szCs w:val="18"/>
        </w:rPr>
      </w:pPr>
      <w:r>
        <w:rPr>
          <w:rFonts w:ascii="Palatino Linotype" w:hAnsi="Palatino Linotype" w:cs="Times New Roman"/>
          <w:noProof w:val="0"/>
          <w:sz w:val="18"/>
          <w:szCs w:val="18"/>
        </w:rPr>
        <w:t>15</w:t>
      </w:r>
      <w:r w:rsidR="00156BCB" w:rsidRPr="00095192">
        <w:rPr>
          <w:rFonts w:ascii="Palatino Linotype" w:hAnsi="Palatino Linotype" w:cs="Times New Roman"/>
          <w:noProof w:val="0"/>
          <w:sz w:val="18"/>
          <w:szCs w:val="18"/>
        </w:rPr>
        <w:tab/>
        <w:t>Dixon WT (1984) Simple proton spectroscopic imaging. Radiology 153:189-194</w:t>
      </w:r>
    </w:p>
    <w:p w14:paraId="48F12C06" w14:textId="1E9E06F8" w:rsidR="00156BCB" w:rsidRPr="00095192" w:rsidRDefault="006C7779" w:rsidP="00095192">
      <w:pPr>
        <w:pStyle w:val="EndNoteBibliography"/>
        <w:adjustRightInd w:val="0"/>
        <w:snapToGrid w:val="0"/>
        <w:spacing w:after="0" w:line="260" w:lineRule="atLeast"/>
        <w:ind w:left="425" w:hanging="425"/>
        <w:rPr>
          <w:rFonts w:ascii="Palatino Linotype" w:hAnsi="Palatino Linotype" w:cs="Times New Roman"/>
          <w:noProof w:val="0"/>
          <w:sz w:val="18"/>
          <w:szCs w:val="18"/>
        </w:rPr>
      </w:pPr>
      <w:r>
        <w:rPr>
          <w:rFonts w:ascii="Palatino Linotype" w:hAnsi="Palatino Linotype" w:cs="Times New Roman"/>
          <w:noProof w:val="0"/>
          <w:sz w:val="18"/>
          <w:szCs w:val="18"/>
        </w:rPr>
        <w:t>16</w:t>
      </w:r>
      <w:r w:rsidR="00156BCB" w:rsidRPr="00095192">
        <w:rPr>
          <w:rFonts w:ascii="Palatino Linotype" w:hAnsi="Palatino Linotype" w:cs="Times New Roman"/>
          <w:noProof w:val="0"/>
          <w:sz w:val="18"/>
          <w:szCs w:val="18"/>
        </w:rPr>
        <w:tab/>
      </w:r>
      <w:proofErr w:type="spellStart"/>
      <w:r w:rsidR="00156BCB" w:rsidRPr="00095192">
        <w:rPr>
          <w:rFonts w:ascii="Palatino Linotype" w:hAnsi="Palatino Linotype" w:cs="Times New Roman"/>
          <w:noProof w:val="0"/>
          <w:sz w:val="18"/>
          <w:szCs w:val="18"/>
        </w:rPr>
        <w:t>Takasu</w:t>
      </w:r>
      <w:proofErr w:type="spellEnd"/>
      <w:r w:rsidR="00156BCB" w:rsidRPr="00095192">
        <w:rPr>
          <w:rFonts w:ascii="Palatino Linotype" w:hAnsi="Palatino Linotype" w:cs="Times New Roman"/>
          <w:noProof w:val="0"/>
          <w:sz w:val="18"/>
          <w:szCs w:val="18"/>
        </w:rPr>
        <w:t xml:space="preserve"> M, </w:t>
      </w:r>
      <w:proofErr w:type="spellStart"/>
      <w:r w:rsidR="00156BCB" w:rsidRPr="00095192">
        <w:rPr>
          <w:rFonts w:ascii="Palatino Linotype" w:hAnsi="Palatino Linotype" w:cs="Times New Roman"/>
          <w:noProof w:val="0"/>
          <w:sz w:val="18"/>
          <w:szCs w:val="18"/>
        </w:rPr>
        <w:t>Kaichi</w:t>
      </w:r>
      <w:proofErr w:type="spellEnd"/>
      <w:r w:rsidR="00156BCB" w:rsidRPr="00095192">
        <w:rPr>
          <w:rFonts w:ascii="Palatino Linotype" w:hAnsi="Palatino Linotype" w:cs="Times New Roman"/>
          <w:noProof w:val="0"/>
          <w:sz w:val="18"/>
          <w:szCs w:val="18"/>
        </w:rPr>
        <w:t xml:space="preserve"> Y, </w:t>
      </w:r>
      <w:proofErr w:type="spellStart"/>
      <w:r w:rsidR="00156BCB" w:rsidRPr="00095192">
        <w:rPr>
          <w:rFonts w:ascii="Palatino Linotype" w:hAnsi="Palatino Linotype" w:cs="Times New Roman"/>
          <w:noProof w:val="0"/>
          <w:sz w:val="18"/>
          <w:szCs w:val="18"/>
        </w:rPr>
        <w:t>Tani</w:t>
      </w:r>
      <w:proofErr w:type="spellEnd"/>
      <w:r w:rsidR="00156BCB" w:rsidRPr="00095192">
        <w:rPr>
          <w:rFonts w:ascii="Palatino Linotype" w:hAnsi="Palatino Linotype" w:cs="Times New Roman"/>
          <w:noProof w:val="0"/>
          <w:sz w:val="18"/>
          <w:szCs w:val="18"/>
        </w:rPr>
        <w:t xml:space="preserve"> C et al (2015) Iterative decomposition of water and fat with echo asymmetry and least-squares estimation (IDEAL) magnetic resonance imaging as a biomarker for symptomatic multiple myeloma. </w:t>
      </w:r>
      <w:proofErr w:type="spellStart"/>
      <w:r w:rsidR="00156BCB" w:rsidRPr="00095192">
        <w:rPr>
          <w:rFonts w:ascii="Palatino Linotype" w:hAnsi="Palatino Linotype" w:cs="Times New Roman"/>
          <w:noProof w:val="0"/>
          <w:sz w:val="18"/>
          <w:szCs w:val="18"/>
        </w:rPr>
        <w:t>PLoS</w:t>
      </w:r>
      <w:proofErr w:type="spellEnd"/>
      <w:r w:rsidR="00156BCB" w:rsidRPr="00095192">
        <w:rPr>
          <w:rFonts w:ascii="Palatino Linotype" w:hAnsi="Palatino Linotype" w:cs="Times New Roman"/>
          <w:noProof w:val="0"/>
          <w:sz w:val="18"/>
          <w:szCs w:val="18"/>
        </w:rPr>
        <w:t xml:space="preserve"> One </w:t>
      </w:r>
      <w:proofErr w:type="gramStart"/>
      <w:r w:rsidR="00156BCB" w:rsidRPr="00095192">
        <w:rPr>
          <w:rFonts w:ascii="Palatino Linotype" w:hAnsi="Palatino Linotype" w:cs="Times New Roman"/>
          <w:noProof w:val="0"/>
          <w:sz w:val="18"/>
          <w:szCs w:val="18"/>
        </w:rPr>
        <w:t>10:e</w:t>
      </w:r>
      <w:proofErr w:type="gramEnd"/>
      <w:r w:rsidR="00156BCB" w:rsidRPr="00095192">
        <w:rPr>
          <w:rFonts w:ascii="Palatino Linotype" w:hAnsi="Palatino Linotype" w:cs="Times New Roman"/>
          <w:noProof w:val="0"/>
          <w:sz w:val="18"/>
          <w:szCs w:val="18"/>
        </w:rPr>
        <w:t>0116842</w:t>
      </w:r>
    </w:p>
    <w:p w14:paraId="6732C9CE" w14:textId="6115C3D0" w:rsidR="00156BCB" w:rsidRPr="00095192" w:rsidRDefault="006C7779" w:rsidP="00095192">
      <w:pPr>
        <w:pStyle w:val="EndNoteBibliography"/>
        <w:adjustRightInd w:val="0"/>
        <w:snapToGrid w:val="0"/>
        <w:spacing w:after="0" w:line="260" w:lineRule="atLeast"/>
        <w:ind w:left="425" w:hanging="425"/>
        <w:rPr>
          <w:rFonts w:ascii="Palatino Linotype" w:hAnsi="Palatino Linotype" w:cs="Times New Roman"/>
          <w:noProof w:val="0"/>
          <w:sz w:val="18"/>
          <w:szCs w:val="18"/>
        </w:rPr>
      </w:pPr>
      <w:r>
        <w:rPr>
          <w:rFonts w:ascii="Palatino Linotype" w:hAnsi="Palatino Linotype" w:cs="Times New Roman"/>
          <w:noProof w:val="0"/>
          <w:sz w:val="18"/>
          <w:szCs w:val="18"/>
        </w:rPr>
        <w:t>17</w:t>
      </w:r>
      <w:r w:rsidR="00156BCB" w:rsidRPr="00095192">
        <w:rPr>
          <w:rFonts w:ascii="Palatino Linotype" w:hAnsi="Palatino Linotype" w:cs="Times New Roman"/>
          <w:noProof w:val="0"/>
          <w:sz w:val="18"/>
          <w:szCs w:val="18"/>
        </w:rPr>
        <w:tab/>
        <w:t>Tyrrell AR, Reilly T, Troup JD (1985) Circadian variation in stature and the effects of spinal loading. Spine (Phila Pa 1976) 10:161-164</w:t>
      </w:r>
    </w:p>
    <w:p w14:paraId="2274C5B2" w14:textId="3BA93C51" w:rsidR="00156BCB" w:rsidRPr="00095192" w:rsidRDefault="006C7779" w:rsidP="00095192">
      <w:pPr>
        <w:pStyle w:val="EndNoteBibliography"/>
        <w:adjustRightInd w:val="0"/>
        <w:snapToGrid w:val="0"/>
        <w:spacing w:after="0" w:line="260" w:lineRule="atLeast"/>
        <w:ind w:left="425" w:hanging="425"/>
        <w:rPr>
          <w:rFonts w:ascii="Palatino Linotype" w:hAnsi="Palatino Linotype" w:cs="Times New Roman"/>
          <w:noProof w:val="0"/>
          <w:sz w:val="18"/>
          <w:szCs w:val="18"/>
        </w:rPr>
      </w:pPr>
      <w:r>
        <w:rPr>
          <w:rFonts w:ascii="Palatino Linotype" w:hAnsi="Palatino Linotype" w:cs="Times New Roman"/>
          <w:noProof w:val="0"/>
          <w:sz w:val="18"/>
          <w:szCs w:val="18"/>
        </w:rPr>
        <w:t>18</w:t>
      </w:r>
      <w:r w:rsidR="00156BCB" w:rsidRPr="00095192">
        <w:rPr>
          <w:rFonts w:ascii="Palatino Linotype" w:hAnsi="Palatino Linotype" w:cs="Times New Roman"/>
          <w:noProof w:val="0"/>
          <w:sz w:val="18"/>
          <w:szCs w:val="18"/>
        </w:rPr>
        <w:tab/>
        <w:t>Marinelli NL, Haughton VM, Munoz A, Anderson PA (2009) T2 relaxation times of intervertebral disc tissue correlated with water content and proteoglycan content. Spine (Phila Pa 1976) 34:520-524</w:t>
      </w:r>
    </w:p>
    <w:p w14:paraId="74D0F9AE" w14:textId="6C62B53C" w:rsidR="00156BCB" w:rsidRPr="00095192" w:rsidRDefault="006C7779" w:rsidP="00095192">
      <w:pPr>
        <w:pStyle w:val="EndNoteBibliography"/>
        <w:adjustRightInd w:val="0"/>
        <w:snapToGrid w:val="0"/>
        <w:spacing w:after="0" w:line="260" w:lineRule="atLeast"/>
        <w:ind w:left="425" w:hanging="425"/>
        <w:rPr>
          <w:rFonts w:ascii="Palatino Linotype" w:hAnsi="Palatino Linotype" w:cs="Times New Roman"/>
          <w:noProof w:val="0"/>
          <w:sz w:val="18"/>
          <w:szCs w:val="18"/>
        </w:rPr>
      </w:pPr>
      <w:r>
        <w:rPr>
          <w:rFonts w:ascii="Palatino Linotype" w:hAnsi="Palatino Linotype" w:cs="Times New Roman"/>
          <w:noProof w:val="0"/>
          <w:sz w:val="18"/>
          <w:szCs w:val="18"/>
        </w:rPr>
        <w:t>19</w:t>
      </w:r>
      <w:r w:rsidR="00156BCB" w:rsidRPr="00095192">
        <w:rPr>
          <w:rFonts w:ascii="Palatino Linotype" w:hAnsi="Palatino Linotype" w:cs="Times New Roman"/>
          <w:noProof w:val="0"/>
          <w:sz w:val="18"/>
          <w:szCs w:val="18"/>
        </w:rPr>
        <w:tab/>
        <w:t xml:space="preserve">Antoniou J, Pike GB, Steffen T et al (1998) Quantitative magnetic resonance imaging in the assessment of degenerative disc disease. </w:t>
      </w:r>
      <w:proofErr w:type="spellStart"/>
      <w:r w:rsidR="00156BCB" w:rsidRPr="00095192">
        <w:rPr>
          <w:rFonts w:ascii="Palatino Linotype" w:hAnsi="Palatino Linotype" w:cs="Times New Roman"/>
          <w:noProof w:val="0"/>
          <w:sz w:val="18"/>
          <w:szCs w:val="18"/>
        </w:rPr>
        <w:t>Magn</w:t>
      </w:r>
      <w:proofErr w:type="spellEnd"/>
      <w:r w:rsidR="00156BCB" w:rsidRPr="00095192">
        <w:rPr>
          <w:rFonts w:ascii="Palatino Linotype" w:hAnsi="Palatino Linotype" w:cs="Times New Roman"/>
          <w:noProof w:val="0"/>
          <w:sz w:val="18"/>
          <w:szCs w:val="18"/>
        </w:rPr>
        <w:t xml:space="preserve"> </w:t>
      </w:r>
      <w:proofErr w:type="spellStart"/>
      <w:r w:rsidR="00156BCB" w:rsidRPr="00095192">
        <w:rPr>
          <w:rFonts w:ascii="Palatino Linotype" w:hAnsi="Palatino Linotype" w:cs="Times New Roman"/>
          <w:noProof w:val="0"/>
          <w:sz w:val="18"/>
          <w:szCs w:val="18"/>
        </w:rPr>
        <w:t>Reson</w:t>
      </w:r>
      <w:proofErr w:type="spellEnd"/>
      <w:r w:rsidR="00156BCB" w:rsidRPr="00095192">
        <w:rPr>
          <w:rFonts w:ascii="Palatino Linotype" w:hAnsi="Palatino Linotype" w:cs="Times New Roman"/>
          <w:noProof w:val="0"/>
          <w:sz w:val="18"/>
          <w:szCs w:val="18"/>
        </w:rPr>
        <w:t xml:space="preserve"> Med 40:900-907</w:t>
      </w:r>
    </w:p>
    <w:p w14:paraId="10077503" w14:textId="6E81E901" w:rsidR="00156BCB" w:rsidRPr="00095192" w:rsidRDefault="006C7779" w:rsidP="00095192">
      <w:pPr>
        <w:pStyle w:val="EndNoteBibliography"/>
        <w:adjustRightInd w:val="0"/>
        <w:snapToGrid w:val="0"/>
        <w:spacing w:after="0" w:line="260" w:lineRule="atLeast"/>
        <w:ind w:left="425" w:hanging="425"/>
        <w:rPr>
          <w:rFonts w:ascii="Palatino Linotype" w:hAnsi="Palatino Linotype" w:cs="Times New Roman"/>
          <w:noProof w:val="0"/>
          <w:sz w:val="18"/>
          <w:szCs w:val="18"/>
        </w:rPr>
      </w:pPr>
      <w:r>
        <w:rPr>
          <w:rFonts w:ascii="Palatino Linotype" w:hAnsi="Palatino Linotype" w:cs="Times New Roman"/>
          <w:noProof w:val="0"/>
          <w:sz w:val="18"/>
          <w:szCs w:val="18"/>
        </w:rPr>
        <w:t>20</w:t>
      </w:r>
      <w:r w:rsidR="00156BCB" w:rsidRPr="00095192">
        <w:rPr>
          <w:rFonts w:ascii="Palatino Linotype" w:hAnsi="Palatino Linotype" w:cs="Times New Roman"/>
          <w:noProof w:val="0"/>
          <w:sz w:val="18"/>
          <w:szCs w:val="18"/>
        </w:rPr>
        <w:tab/>
      </w:r>
      <w:proofErr w:type="spellStart"/>
      <w:r w:rsidR="00156BCB" w:rsidRPr="00095192">
        <w:rPr>
          <w:rFonts w:ascii="Palatino Linotype" w:hAnsi="Palatino Linotype" w:cs="Times New Roman"/>
          <w:noProof w:val="0"/>
          <w:sz w:val="18"/>
          <w:szCs w:val="18"/>
        </w:rPr>
        <w:t>Mok</w:t>
      </w:r>
      <w:proofErr w:type="spellEnd"/>
      <w:r w:rsidR="00156BCB" w:rsidRPr="00095192">
        <w:rPr>
          <w:rFonts w:ascii="Palatino Linotype" w:hAnsi="Palatino Linotype" w:cs="Times New Roman"/>
          <w:noProof w:val="0"/>
          <w:sz w:val="18"/>
          <w:szCs w:val="18"/>
        </w:rPr>
        <w:t xml:space="preserve"> GSP, Zhang D, Chen SZ, Yuan J, Griffith JF, Wang YXJ (2016) Comparison of three approaches for defining nucleus pulposus and annulus fibrosus on sagittal magnetic resonance images of the lumbar spine. J </w:t>
      </w:r>
      <w:proofErr w:type="spellStart"/>
      <w:r w:rsidR="00156BCB" w:rsidRPr="00095192">
        <w:rPr>
          <w:rFonts w:ascii="Palatino Linotype" w:hAnsi="Palatino Linotype" w:cs="Times New Roman"/>
          <w:noProof w:val="0"/>
          <w:sz w:val="18"/>
          <w:szCs w:val="18"/>
        </w:rPr>
        <w:t>Orthop</w:t>
      </w:r>
      <w:proofErr w:type="spellEnd"/>
      <w:r w:rsidR="00156BCB" w:rsidRPr="00095192">
        <w:rPr>
          <w:rFonts w:ascii="Palatino Linotype" w:hAnsi="Palatino Linotype" w:cs="Times New Roman"/>
          <w:noProof w:val="0"/>
          <w:sz w:val="18"/>
          <w:szCs w:val="18"/>
        </w:rPr>
        <w:t xml:space="preserve"> </w:t>
      </w:r>
      <w:proofErr w:type="spellStart"/>
      <w:r w:rsidR="00156BCB" w:rsidRPr="00095192">
        <w:rPr>
          <w:rFonts w:ascii="Palatino Linotype" w:hAnsi="Palatino Linotype" w:cs="Times New Roman"/>
          <w:noProof w:val="0"/>
          <w:sz w:val="18"/>
          <w:szCs w:val="18"/>
        </w:rPr>
        <w:t>Translat</w:t>
      </w:r>
      <w:proofErr w:type="spellEnd"/>
      <w:r w:rsidR="00156BCB" w:rsidRPr="00095192">
        <w:rPr>
          <w:rFonts w:ascii="Palatino Linotype" w:hAnsi="Palatino Linotype" w:cs="Times New Roman"/>
          <w:noProof w:val="0"/>
          <w:sz w:val="18"/>
          <w:szCs w:val="18"/>
        </w:rPr>
        <w:t xml:space="preserve"> 6:34-41</w:t>
      </w:r>
    </w:p>
    <w:p w14:paraId="09209DAE" w14:textId="40892D04" w:rsidR="00E164DD" w:rsidRDefault="006C7779" w:rsidP="00095192">
      <w:pPr>
        <w:pStyle w:val="EndNoteBibliography"/>
        <w:adjustRightInd w:val="0"/>
        <w:snapToGrid w:val="0"/>
        <w:spacing w:after="0" w:line="260" w:lineRule="atLeast"/>
        <w:ind w:left="425" w:hanging="425"/>
        <w:rPr>
          <w:rFonts w:ascii="Palatino Linotype" w:hAnsi="Palatino Linotype" w:cs="Times New Roman"/>
          <w:noProof w:val="0"/>
          <w:sz w:val="18"/>
          <w:szCs w:val="18"/>
        </w:rPr>
      </w:pPr>
      <w:r>
        <w:rPr>
          <w:rFonts w:ascii="Palatino Linotype" w:hAnsi="Palatino Linotype" w:cs="Times New Roman"/>
          <w:noProof w:val="0"/>
          <w:sz w:val="18"/>
          <w:szCs w:val="18"/>
        </w:rPr>
        <w:t>21</w:t>
      </w:r>
      <w:r w:rsidR="00156BCB" w:rsidRPr="00095192">
        <w:rPr>
          <w:rFonts w:ascii="Palatino Linotype" w:hAnsi="Palatino Linotype" w:cs="Times New Roman"/>
          <w:noProof w:val="0"/>
          <w:sz w:val="18"/>
          <w:szCs w:val="18"/>
        </w:rPr>
        <w:tab/>
        <w:t xml:space="preserve">Urrutia J, </w:t>
      </w:r>
      <w:proofErr w:type="spellStart"/>
      <w:r w:rsidR="00156BCB" w:rsidRPr="00095192">
        <w:rPr>
          <w:rFonts w:ascii="Palatino Linotype" w:hAnsi="Palatino Linotype" w:cs="Times New Roman"/>
          <w:noProof w:val="0"/>
          <w:sz w:val="18"/>
          <w:szCs w:val="18"/>
        </w:rPr>
        <w:t>Besa</w:t>
      </w:r>
      <w:proofErr w:type="spellEnd"/>
      <w:r w:rsidR="00156BCB" w:rsidRPr="00095192">
        <w:rPr>
          <w:rFonts w:ascii="Palatino Linotype" w:hAnsi="Palatino Linotype" w:cs="Times New Roman"/>
          <w:noProof w:val="0"/>
          <w:sz w:val="18"/>
          <w:szCs w:val="18"/>
        </w:rPr>
        <w:t xml:space="preserve"> P, Campos M et al (2016) The Pfirrmann classification of lumbar intervertebral disc degeneration: an independent inter- and intra-observer agreement assessment. Eur Spine J 25:2728-2733</w:t>
      </w:r>
    </w:p>
    <w:tbl>
      <w:tblPr>
        <w:tblStyle w:val="Oformateradtabell4"/>
        <w:tblW w:w="8880" w:type="dxa"/>
        <w:jc w:val="center"/>
        <w:tblLook w:val="04A0" w:firstRow="1" w:lastRow="0" w:firstColumn="1" w:lastColumn="0" w:noHBand="0" w:noVBand="1"/>
      </w:tblPr>
      <w:tblGrid>
        <w:gridCol w:w="1731"/>
        <w:gridCol w:w="7149"/>
      </w:tblGrid>
      <w:tr w:rsidR="00895E1F" w:rsidRPr="00895E1F" w14:paraId="3BE36EAB" w14:textId="77777777" w:rsidTr="00895E1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434DC86B" w14:textId="77777777" w:rsidR="00895E1F" w:rsidRPr="00895E1F" w:rsidRDefault="00895E1F" w:rsidP="00895E1F">
            <w:pPr>
              <w:pStyle w:val="EndNoteBibliography"/>
              <w:adjustRightInd w:val="0"/>
              <w:snapToGrid w:val="0"/>
              <w:spacing w:before="240" w:after="0" w:line="260" w:lineRule="atLeast"/>
              <w:ind w:left="-85"/>
              <w:rPr>
                <w:rFonts w:ascii="Palatino Linotype" w:hAnsi="Palatino Linotype" w:cs="Times New Roman"/>
                <w:b w:val="0"/>
                <w:noProof w:val="0"/>
                <w:sz w:val="18"/>
                <w:szCs w:val="18"/>
              </w:rPr>
            </w:pPr>
            <w:r w:rsidRPr="00895E1F">
              <w:rPr>
                <w:rFonts w:ascii="Palatino Linotype" w:hAnsi="Palatino Linotype" w:cs="Times New Roman"/>
                <w:sz w:val="18"/>
                <w:szCs w:val="18"/>
                <w:lang w:eastAsia="zh-CN"/>
              </w:rPr>
              <w:drawing>
                <wp:inline distT="0" distB="0" distL="0" distR="0" wp14:anchorId="7ABE8173" wp14:editId="7979014D">
                  <wp:extent cx="1000800" cy="360000"/>
                  <wp:effectExtent l="0" t="0" r="0" b="254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000800" cy="360000"/>
                          </a:xfrm>
                          <a:prstGeom prst="rect">
                            <a:avLst/>
                          </a:prstGeom>
                        </pic:spPr>
                      </pic:pic>
                    </a:graphicData>
                  </a:graphic>
                </wp:inline>
              </w:drawing>
            </w:r>
          </w:p>
        </w:tc>
        <w:tc>
          <w:tcPr>
            <w:tcW w:w="7149" w:type="dxa"/>
            <w:vAlign w:val="center"/>
          </w:tcPr>
          <w:p w14:paraId="1A0E9128" w14:textId="77777777" w:rsidR="00895E1F" w:rsidRPr="00895E1F" w:rsidRDefault="00895E1F" w:rsidP="00895E1F">
            <w:pPr>
              <w:pStyle w:val="EndNoteBibliography"/>
              <w:adjustRightInd w:val="0"/>
              <w:snapToGrid w:val="0"/>
              <w:spacing w:before="240" w:after="0" w:line="260" w:lineRule="atLeast"/>
              <w:ind w:left="-85"/>
              <w:cnfStyle w:val="100000000000" w:firstRow="1" w:lastRow="0" w:firstColumn="0" w:lastColumn="0" w:oddVBand="0" w:evenVBand="0" w:oddHBand="0" w:evenHBand="0" w:firstRowFirstColumn="0" w:firstRowLastColumn="0" w:lastRowFirstColumn="0" w:lastRowLastColumn="0"/>
              <w:rPr>
                <w:rFonts w:ascii="Palatino Linotype" w:hAnsi="Palatino Linotype" w:cs="Times New Roman"/>
                <w:b w:val="0"/>
                <w:noProof w:val="0"/>
                <w:sz w:val="18"/>
                <w:szCs w:val="18"/>
              </w:rPr>
            </w:pPr>
            <w:r w:rsidRPr="00895E1F">
              <w:rPr>
                <w:rFonts w:ascii="Palatino Linotype" w:hAnsi="Palatino Linotype" w:cs="Times New Roman"/>
                <w:b w:val="0"/>
                <w:noProof w:val="0"/>
                <w:sz w:val="18"/>
                <w:szCs w:val="18"/>
              </w:rPr>
              <w:t>© 2020 by the authors. Submitted for possible open access publication under the terms and conditions of the Creative Commons Attribution (CC BY) license (http://creativecommons.org/licenses/by/4.0/).</w:t>
            </w:r>
          </w:p>
        </w:tc>
      </w:tr>
    </w:tbl>
    <w:p w14:paraId="2A54BB4C" w14:textId="77777777" w:rsidR="006A6469" w:rsidRDefault="006A6469" w:rsidP="00095192">
      <w:pPr>
        <w:pStyle w:val="EndNoteBibliography"/>
        <w:adjustRightInd w:val="0"/>
        <w:snapToGrid w:val="0"/>
        <w:spacing w:after="0" w:line="260" w:lineRule="atLeast"/>
        <w:ind w:left="425" w:hanging="425"/>
        <w:rPr>
          <w:rFonts w:ascii="Palatino Linotype" w:hAnsi="Palatino Linotype" w:cs="Times New Roman"/>
          <w:noProof w:val="0"/>
          <w:sz w:val="18"/>
          <w:szCs w:val="18"/>
          <w:lang w:val="de-DE"/>
        </w:rPr>
      </w:pPr>
    </w:p>
    <w:p w14:paraId="5A879559" w14:textId="77777777" w:rsidR="006A6469" w:rsidRDefault="006A6469" w:rsidP="00095192">
      <w:pPr>
        <w:pStyle w:val="EndNoteBibliography"/>
        <w:adjustRightInd w:val="0"/>
        <w:snapToGrid w:val="0"/>
        <w:spacing w:after="0" w:line="260" w:lineRule="atLeast"/>
        <w:ind w:left="425" w:hanging="425"/>
        <w:rPr>
          <w:rFonts w:ascii="Palatino Linotype" w:hAnsi="Palatino Linotype" w:cs="Times New Roman"/>
          <w:noProof w:val="0"/>
          <w:sz w:val="18"/>
          <w:szCs w:val="18"/>
          <w:lang w:val="de-DE"/>
        </w:rPr>
      </w:pPr>
    </w:p>
    <w:p w14:paraId="1F19665F" w14:textId="36EA9863" w:rsidR="00895E1F" w:rsidRPr="00895E1F" w:rsidRDefault="006A6469" w:rsidP="006A6469">
      <w:pPr>
        <w:pStyle w:val="EndNoteBibliography"/>
        <w:rPr>
          <w:rFonts w:ascii="Palatino Linotype" w:hAnsi="Palatino Linotype" w:cs="Times New Roman"/>
          <w:noProof w:val="0"/>
          <w:sz w:val="18"/>
          <w:szCs w:val="18"/>
          <w:lang w:val="de-DE"/>
        </w:rPr>
      </w:pPr>
      <w:r>
        <w:rPr>
          <w:rFonts w:ascii="Palatino Linotype" w:hAnsi="Palatino Linotype" w:cs="Times New Roman"/>
          <w:noProof w:val="0"/>
          <w:sz w:val="18"/>
          <w:szCs w:val="18"/>
          <w:lang w:val="de-DE"/>
        </w:rPr>
        <w:fldChar w:fldCharType="begin"/>
      </w:r>
      <w:r>
        <w:rPr>
          <w:rFonts w:ascii="Palatino Linotype" w:hAnsi="Palatino Linotype" w:cs="Times New Roman"/>
          <w:noProof w:val="0"/>
          <w:sz w:val="18"/>
          <w:szCs w:val="18"/>
          <w:lang w:val="de-DE"/>
        </w:rPr>
        <w:instrText xml:space="preserve"> ADDIN EN.REFLIST </w:instrText>
      </w:r>
      <w:r>
        <w:rPr>
          <w:rFonts w:ascii="Palatino Linotype" w:hAnsi="Palatino Linotype" w:cs="Times New Roman"/>
          <w:noProof w:val="0"/>
          <w:sz w:val="18"/>
          <w:szCs w:val="18"/>
          <w:lang w:val="de-DE"/>
        </w:rPr>
        <w:fldChar w:fldCharType="end"/>
      </w:r>
    </w:p>
    <w:sectPr w:rsidR="00895E1F" w:rsidRPr="00895E1F" w:rsidSect="00095192">
      <w:headerReference w:type="default" r:id="rId16"/>
      <w:headerReference w:type="first" r:id="rId17"/>
      <w:footerReference w:type="first" r:id="rId18"/>
      <w:type w:val="continuous"/>
      <w:pgSz w:w="11906" w:h="16838"/>
      <w:pgMar w:top="1417" w:right="1531" w:bottom="1077" w:left="1531" w:header="1020" w:footer="850" w:gutter="0"/>
      <w:lnNumType w:countBy="1" w:restart="continuou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96B99C" w14:textId="77777777" w:rsidR="00D75131" w:rsidRDefault="00D75131">
      <w:pPr>
        <w:spacing w:after="0" w:line="240" w:lineRule="auto"/>
      </w:pPr>
      <w:r>
        <w:separator/>
      </w:r>
    </w:p>
  </w:endnote>
  <w:endnote w:type="continuationSeparator" w:id="0">
    <w:p w14:paraId="24681917" w14:textId="77777777" w:rsidR="00D75131" w:rsidRDefault="00D751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ndale Sans UI">
    <w:altName w:val="Arial Unicode MS"/>
    <w:charset w:val="00"/>
    <w:family w:val="auto"/>
    <w:pitch w:val="variable"/>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7A49E3" w14:textId="77777777" w:rsidR="00454C01" w:rsidRPr="00095192" w:rsidRDefault="00454C01" w:rsidP="00095192">
    <w:pPr>
      <w:pStyle w:val="MDPIfooterfirstpage"/>
      <w:spacing w:line="240" w:lineRule="auto"/>
      <w:jc w:val="both"/>
      <w:rPr>
        <w:lang w:val="fr-CH"/>
      </w:rPr>
    </w:pPr>
    <w:r w:rsidRPr="00180F04">
      <w:rPr>
        <w:i/>
        <w:szCs w:val="16"/>
      </w:rPr>
      <w:t>J. Clin. Med.</w:t>
    </w:r>
    <w:r w:rsidRPr="00180F04">
      <w:rPr>
        <w:szCs w:val="16"/>
      </w:rPr>
      <w:t xml:space="preserve"> </w:t>
    </w:r>
    <w:r>
      <w:rPr>
        <w:b/>
        <w:szCs w:val="16"/>
      </w:rPr>
      <w:t>2020</w:t>
    </w:r>
    <w:r w:rsidRPr="00180F04">
      <w:rPr>
        <w:szCs w:val="16"/>
      </w:rPr>
      <w:t xml:space="preserve">, </w:t>
    </w:r>
    <w:r w:rsidRPr="007E7095">
      <w:rPr>
        <w:i/>
        <w:szCs w:val="16"/>
      </w:rPr>
      <w:t>9</w:t>
    </w:r>
    <w:r w:rsidRPr="00180F04">
      <w:rPr>
        <w:szCs w:val="16"/>
      </w:rPr>
      <w:t>, x; doi: FOR PEER REVIEW</w:t>
    </w:r>
    <w:r w:rsidRPr="008B308E">
      <w:rPr>
        <w:lang w:val="fr-CH"/>
      </w:rPr>
      <w:tab/>
      <w:t>www.mdpi.com/journal/</w:t>
    </w:r>
    <w:r w:rsidRPr="00180F04">
      <w:t>jcm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DBD69E" w14:textId="77777777" w:rsidR="00D75131" w:rsidRDefault="00D75131">
      <w:pPr>
        <w:spacing w:after="0" w:line="240" w:lineRule="auto"/>
      </w:pPr>
      <w:r>
        <w:separator/>
      </w:r>
    </w:p>
  </w:footnote>
  <w:footnote w:type="continuationSeparator" w:id="0">
    <w:p w14:paraId="368EF0F0" w14:textId="77777777" w:rsidR="00D75131" w:rsidRDefault="00D751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6BC51" w14:textId="5AD269A5" w:rsidR="00454C01" w:rsidRPr="00095192" w:rsidRDefault="00454C01" w:rsidP="00095192">
    <w:pPr>
      <w:tabs>
        <w:tab w:val="right" w:pos="8844"/>
      </w:tabs>
      <w:adjustRightInd w:val="0"/>
      <w:snapToGrid w:val="0"/>
      <w:spacing w:after="240"/>
      <w:rPr>
        <w:rFonts w:ascii="Palatino Linotype" w:hAnsi="Palatino Linotype"/>
        <w:sz w:val="16"/>
        <w:lang w:val="en-US"/>
      </w:rPr>
    </w:pPr>
    <w:r w:rsidRPr="00180F04">
      <w:rPr>
        <w:rFonts w:ascii="Palatino Linotype" w:hAnsi="Palatino Linotype"/>
        <w:i/>
        <w:sz w:val="16"/>
        <w:lang w:val="en-US"/>
      </w:rPr>
      <w:t xml:space="preserve">J. Clin. Med. </w:t>
    </w:r>
    <w:r>
      <w:rPr>
        <w:rFonts w:ascii="Palatino Linotype" w:hAnsi="Palatino Linotype"/>
        <w:b/>
        <w:sz w:val="16"/>
        <w:lang w:val="en-US"/>
      </w:rPr>
      <w:t>2020</w:t>
    </w:r>
    <w:r w:rsidRPr="00180F04">
      <w:rPr>
        <w:rFonts w:ascii="Palatino Linotype" w:hAnsi="Palatino Linotype"/>
        <w:sz w:val="16"/>
        <w:lang w:val="en-US"/>
      </w:rPr>
      <w:t xml:space="preserve">, </w:t>
    </w:r>
    <w:r>
      <w:rPr>
        <w:rFonts w:ascii="Palatino Linotype" w:hAnsi="Palatino Linotype"/>
        <w:i/>
        <w:sz w:val="16"/>
        <w:lang w:val="en-US"/>
      </w:rPr>
      <w:t>9</w:t>
    </w:r>
    <w:r w:rsidRPr="00180F04">
      <w:rPr>
        <w:rFonts w:ascii="Palatino Linotype" w:hAnsi="Palatino Linotype"/>
        <w:sz w:val="16"/>
        <w:lang w:val="en-US"/>
      </w:rPr>
      <w:t>, x FOR PEER REVIEW</w:t>
    </w:r>
    <w:r w:rsidRPr="00180F04">
      <w:rPr>
        <w:rFonts w:ascii="Palatino Linotype" w:hAnsi="Palatino Linotype"/>
        <w:sz w:val="16"/>
        <w:lang w:val="en-US"/>
      </w:rPr>
      <w:tab/>
    </w:r>
    <w:r>
      <w:rPr>
        <w:rFonts w:ascii="Palatino Linotype" w:hAnsi="Palatino Linotype"/>
        <w:sz w:val="16"/>
      </w:rPr>
      <w:fldChar w:fldCharType="begin"/>
    </w:r>
    <w:r w:rsidRPr="00180F04">
      <w:rPr>
        <w:rFonts w:ascii="Palatino Linotype" w:hAnsi="Palatino Linotype"/>
        <w:sz w:val="16"/>
        <w:lang w:val="en-US"/>
      </w:rPr>
      <w:instrText xml:space="preserve"> PAGE   \* MERGEFORMAT </w:instrText>
    </w:r>
    <w:r>
      <w:rPr>
        <w:rFonts w:ascii="Palatino Linotype" w:hAnsi="Palatino Linotype"/>
        <w:sz w:val="16"/>
      </w:rPr>
      <w:fldChar w:fldCharType="separate"/>
    </w:r>
    <w:r>
      <w:rPr>
        <w:rFonts w:ascii="Palatino Linotype" w:hAnsi="Palatino Linotype"/>
        <w:noProof/>
        <w:sz w:val="16"/>
        <w:lang w:val="en-US"/>
      </w:rPr>
      <w:t>11</w:t>
    </w:r>
    <w:r>
      <w:rPr>
        <w:rFonts w:ascii="Palatino Linotype" w:hAnsi="Palatino Linotype"/>
        <w:sz w:val="16"/>
      </w:rPr>
      <w:fldChar w:fldCharType="end"/>
    </w:r>
    <w:r w:rsidRPr="00180F04">
      <w:rPr>
        <w:rFonts w:ascii="Palatino Linotype" w:hAnsi="Palatino Linotype"/>
        <w:sz w:val="16"/>
        <w:lang w:val="en-US"/>
      </w:rPr>
      <w:t xml:space="preserve"> of </w:t>
    </w:r>
    <w:r>
      <w:rPr>
        <w:rFonts w:ascii="Palatino Linotype" w:hAnsi="Palatino Linotype"/>
        <w:sz w:val="16"/>
      </w:rPr>
      <w:fldChar w:fldCharType="begin"/>
    </w:r>
    <w:r w:rsidRPr="00180F04">
      <w:rPr>
        <w:rFonts w:ascii="Palatino Linotype" w:hAnsi="Palatino Linotype"/>
        <w:sz w:val="16"/>
        <w:lang w:val="en-US"/>
      </w:rPr>
      <w:instrText xml:space="preserve"> NUMPAGES   \* MERGEFORMAT </w:instrText>
    </w:r>
    <w:r>
      <w:rPr>
        <w:rFonts w:ascii="Palatino Linotype" w:hAnsi="Palatino Linotype"/>
        <w:sz w:val="16"/>
      </w:rPr>
      <w:fldChar w:fldCharType="separate"/>
    </w:r>
    <w:r>
      <w:rPr>
        <w:rFonts w:ascii="Palatino Linotype" w:hAnsi="Palatino Linotype"/>
        <w:noProof/>
        <w:sz w:val="16"/>
        <w:lang w:val="en-US"/>
      </w:rPr>
      <w:t>11</w:t>
    </w:r>
    <w:r>
      <w:rPr>
        <w:rFonts w:ascii="Palatino Linotype" w:hAnsi="Palatino Linotype"/>
        <w:sz w:val="1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0C04AC" w14:textId="77777777" w:rsidR="00454C01" w:rsidRPr="00095192" w:rsidRDefault="00454C01" w:rsidP="00095192">
    <w:pPr>
      <w:pStyle w:val="MDPIheaderjournallogo"/>
    </w:pPr>
    <w:r>
      <w:rPr>
        <w:noProof/>
        <w:lang w:eastAsia="zh-CN"/>
      </w:rPr>
      <mc:AlternateContent>
        <mc:Choice Requires="wps">
          <w:drawing>
            <wp:anchor distT="45720" distB="45720" distL="114300" distR="114300" simplePos="0" relativeHeight="251659264" behindDoc="1" locked="0" layoutInCell="1" allowOverlap="1" wp14:anchorId="3F26B69E" wp14:editId="4B38A995">
              <wp:simplePos x="0" y="0"/>
              <wp:positionH relativeFrom="page">
                <wp:posOffset>6029960</wp:posOffset>
              </wp:positionH>
              <wp:positionV relativeFrom="page">
                <wp:posOffset>647700</wp:posOffset>
              </wp:positionV>
              <wp:extent cx="553085" cy="708660"/>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53085" cy="708660"/>
                      </a:xfrm>
                      <a:prstGeom prst="rect">
                        <a:avLst/>
                      </a:prstGeom>
                      <a:solidFill>
                        <a:srgbClr val="FFFFFF"/>
                      </a:solidFill>
                      <a:ln w="9525">
                        <a:noFill/>
                        <a:miter lim="800000"/>
                        <a:headEnd/>
                        <a:tailEnd/>
                      </a:ln>
                    </wps:spPr>
                    <wps:txbx>
                      <w:txbxContent>
                        <w:p w14:paraId="5BF1498D" w14:textId="77777777" w:rsidR="00454C01" w:rsidRDefault="00454C01" w:rsidP="00095192">
                          <w:pPr>
                            <w:pStyle w:val="MDPIheaderjournallogo"/>
                            <w:jc w:val="center"/>
                            <w:textboxTightWrap w:val="allLines"/>
                            <w:rPr>
                              <w:i w:val="0"/>
                              <w:szCs w:val="16"/>
                            </w:rPr>
                          </w:pPr>
                          <w:r w:rsidRPr="00996419">
                            <w:rPr>
                              <w:i w:val="0"/>
                              <w:noProof/>
                              <w:szCs w:val="16"/>
                              <w:lang w:eastAsia="zh-CN"/>
                            </w:rPr>
                            <w:drawing>
                              <wp:inline distT="0" distB="0" distL="0" distR="0" wp14:anchorId="62014429" wp14:editId="65A0BBF3">
                                <wp:extent cx="539750" cy="360000"/>
                                <wp:effectExtent l="0" t="0" r="0" b="2540"/>
                                <wp:docPr id="14" name="Picture 3" descr="C:\Users\home\Desktop\logos\ori\png\logo-mdpi.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C:\Users\home\Desktop\logos\ori\png\logo-mdpi.pn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 cy="360000"/>
                                        </a:xfrm>
                                        <a:prstGeom prst="rect">
                                          <a:avLst/>
                                        </a:prstGeom>
                                        <a:noFill/>
                                        <a:ln>
                                          <a:noFill/>
                                        </a:ln>
                                      </pic:spPr>
                                    </pic:pic>
                                  </a:graphicData>
                                </a:graphic>
                              </wp:inline>
                            </w:drawing>
                          </w:r>
                        </w:p>
                      </w:txbxContent>
                    </wps:txbx>
                    <wps:bodyPr rot="0" vert="horz" wrap="non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26B69E" id="_x0000_t202" coordsize="21600,21600" o:spt="202" path="m,l,21600r21600,l21600,xe">
              <v:stroke joinstyle="miter"/>
              <v:path gradientshapeok="t" o:connecttype="rect"/>
            </v:shapetype>
            <v:shape id="Text Box 2" o:spid="_x0000_s1026" type="#_x0000_t202" style="position:absolute;left:0;text-align:left;margin-left:474.8pt;margin-top:51pt;width:43.55pt;height:55.8pt;z-index:-251657216;visibility:visible;mso-wrap-style:non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rNqBgIAAPIDAAAOAAAAZHJzL2Uyb0RvYy54bWysU9uO0zAQfUfiHyy/02SLWkrUdAW7FCEt&#10;F2mXD5g4TmNheyzb26R8PWOn6S7whvCDNbbPHM+cmdlej0azo/RBoa351aLkTFqBrbKHmn9/2L/a&#10;cBYi2BY0Wlnzkwz8evfyxXZwlVxij7qVnhGJDdXgat7H6KqiCKKXBsICnbT02KE3EOnoD0XrYSB2&#10;o4tlWa6LAX3rPAoZAt3eTo98l/m7Tor4teuCjEzXnGKLefd5b9Je7LZQHTy4XolzGPAPURhQlj69&#10;UN1CBPbo1V9URgmPAbu4EGgK7DolZM6Bsrkq/8jmvgcncy4kTnAXmcL/oxVfjt88Uy3VbsWZBUM1&#10;epBjZO9xZMskz+BCRah7R7g40jVBc6rB3aH4EQhSPMNMDiGhm+EztsQHjxGzx9h5k0SitBnRUD1O&#10;lxqkPwVdrlavyw2FIujpTblZr3ONCqhmZ+dD/CjRsGTU3FOJMzkc70JMwUA1Q9JfAbVq90rrfPCH&#10;5kZ7dgRqh31eKUVy+Q2mLRtq/na1XGVmi8mfcFAZFaldtTI135RpTQ3US2g/2DZDIig92USr7Vmd&#10;JMgkTRybkYBJsgbbE+nkcWpLGiMyevQ/ORuoJWtuaWY4058sVTx172z42WhmA6wgx5pHzibzJuYu&#10;T0FbfEcV6FRW5+nfc2TUWFmB8xCkzn1+zqinUd39AgAA//8DAFBLAwQUAAYACAAAACEAlfnGF+AA&#10;AAAMAQAADwAAAGRycy9kb3ducmV2LnhtbEyPy27CMBBF95X6D9YgdVdsQgmQxkEVUh/qDpoPMPGQ&#10;RPgRbOfRv69Z0eXoHt05N99NWpEBnW+t4bCYMyBoKitbU3Mof96fN0B8EEYKZQ1y+EUPu+LxIReZ&#10;tKM54HAMNYklxmeCQxNCl1Hqqwa18HPboYnZ2TotQjxdTaUTYyzXiiaMpVSL1sQPjehw32B1Ofaa&#10;Q+/Pozpshm8sv/ar8uO6Xn1eHedPs+ntFUjAKdxhuOlHdSii08n2RnqiOGxftmlEY8CSOOpGsGW6&#10;BnLikCyWKdAip/9HFH8AAAD//wMAUEsBAi0AFAAGAAgAAAAhALaDOJL+AAAA4QEAABMAAAAAAAAA&#10;AAAAAAAAAAAAAFtDb250ZW50X1R5cGVzXS54bWxQSwECLQAUAAYACAAAACEAOP0h/9YAAACUAQAA&#10;CwAAAAAAAAAAAAAAAAAvAQAAX3JlbHMvLnJlbHNQSwECLQAUAAYACAAAACEAu2qzagYCAADyAwAA&#10;DgAAAAAAAAAAAAAAAAAuAgAAZHJzL2Uyb0RvYy54bWxQSwECLQAUAAYACAAAACEAlfnGF+AAAAAM&#10;AQAADwAAAAAAAAAAAAAAAABgBAAAZHJzL2Rvd25yZXYueG1sUEsFBgAAAAAEAAQA8wAAAG0FAAAA&#10;AA==&#10;" stroked="f">
              <v:textbox inset="0,0,0,0">
                <w:txbxContent>
                  <w:p w14:paraId="5BF1498D" w14:textId="77777777" w:rsidR="00454C01" w:rsidRDefault="00454C01" w:rsidP="00095192">
                    <w:pPr>
                      <w:pStyle w:val="MDPIheaderjournallogo"/>
                      <w:jc w:val="center"/>
                      <w:textboxTightWrap w:val="allLines"/>
                      <w:rPr>
                        <w:i w:val="0"/>
                        <w:szCs w:val="16"/>
                      </w:rPr>
                    </w:pPr>
                    <w:r w:rsidRPr="00996419">
                      <w:rPr>
                        <w:i w:val="0"/>
                        <w:noProof/>
                        <w:szCs w:val="16"/>
                        <w:lang w:eastAsia="zh-CN"/>
                      </w:rPr>
                      <w:drawing>
                        <wp:inline distT="0" distB="0" distL="0" distR="0" wp14:anchorId="62014429" wp14:editId="65A0BBF3">
                          <wp:extent cx="539750" cy="360000"/>
                          <wp:effectExtent l="0" t="0" r="0" b="2540"/>
                          <wp:docPr id="14" name="Picture 3" descr="C:\Users\home\Desktop\logos\ori\png\logo-mdpi.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C:\Users\home\Desktop\logos\ori\png\logo-mdpi.png"/>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39750" cy="360000"/>
                                  </a:xfrm>
                                  <a:prstGeom prst="rect">
                                    <a:avLst/>
                                  </a:prstGeom>
                                  <a:noFill/>
                                  <a:ln>
                                    <a:noFill/>
                                  </a:ln>
                                </pic:spPr>
                              </pic:pic>
                            </a:graphicData>
                          </a:graphic>
                        </wp:inline>
                      </w:drawing>
                    </w:r>
                  </w:p>
                </w:txbxContent>
              </v:textbox>
              <w10:wrap anchorx="page" anchory="page"/>
            </v:shape>
          </w:pict>
        </mc:Fallback>
      </mc:AlternateContent>
    </w:r>
    <w:r w:rsidRPr="00A04686">
      <w:rPr>
        <w:noProof/>
        <w:lang w:eastAsia="zh-CN"/>
      </w:rPr>
      <w:drawing>
        <wp:inline distT="0" distB="0" distL="0" distR="0" wp14:anchorId="57CE9F54" wp14:editId="2CC3506E">
          <wp:extent cx="1680845" cy="432000"/>
          <wp:effectExtent l="0" t="0" r="0" b="6350"/>
          <wp:docPr id="13" name="Picture 5" descr="C:\Users\home\Desktop\logos\png\jcm-logo.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C:\Users\home\Desktop\logos\png\jcm-logo.png"/>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80845" cy="432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5ACE230"/>
    <w:lvl w:ilvl="0">
      <w:start w:val="1"/>
      <w:numFmt w:val="bullet"/>
      <w:pStyle w:val="Punktlista"/>
      <w:lvlText w:val=""/>
      <w:lvlJc w:val="left"/>
      <w:pPr>
        <w:tabs>
          <w:tab w:val="num" w:pos="360"/>
        </w:tabs>
        <w:ind w:left="360" w:hanging="360"/>
      </w:pPr>
      <w:rPr>
        <w:rFonts w:ascii="Symbol" w:hAnsi="Symbol" w:hint="default"/>
      </w:rPr>
    </w:lvl>
  </w:abstractNum>
  <w:abstractNum w:abstractNumId="1" w15:restartNumberingAfterBreak="0">
    <w:nsid w:val="04282485"/>
    <w:multiLevelType w:val="hybridMultilevel"/>
    <w:tmpl w:val="737CE2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5147353"/>
    <w:multiLevelType w:val="hybridMultilevel"/>
    <w:tmpl w:val="929AC48C"/>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5634535"/>
    <w:multiLevelType w:val="hybridMultilevel"/>
    <w:tmpl w:val="89AE3A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58B53F4"/>
    <w:multiLevelType w:val="hybridMultilevel"/>
    <w:tmpl w:val="1A6E361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7835A79"/>
    <w:multiLevelType w:val="hybridMultilevel"/>
    <w:tmpl w:val="39D2B1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9897578"/>
    <w:multiLevelType w:val="hybridMultilevel"/>
    <w:tmpl w:val="860E56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A087EED"/>
    <w:multiLevelType w:val="multilevel"/>
    <w:tmpl w:val="4790AAF4"/>
    <w:lvl w:ilvl="0">
      <w:numFmt w:val="bullet"/>
      <w:lvlText w:val="•"/>
      <w:lvlJc w:val="left"/>
      <w:rPr>
        <w:rFonts w:ascii="OpenSymbol" w:eastAsia="Times New Roman" w:hAnsi="OpenSymbol"/>
      </w:rPr>
    </w:lvl>
    <w:lvl w:ilvl="1">
      <w:numFmt w:val="bullet"/>
      <w:lvlText w:val="◦"/>
      <w:lvlJc w:val="left"/>
      <w:rPr>
        <w:rFonts w:ascii="OpenSymbol" w:eastAsia="Times New Roman" w:hAnsi="OpenSymbol"/>
      </w:rPr>
    </w:lvl>
    <w:lvl w:ilvl="2">
      <w:numFmt w:val="bullet"/>
      <w:lvlText w:val="▪"/>
      <w:lvlJc w:val="left"/>
      <w:rPr>
        <w:rFonts w:ascii="OpenSymbol" w:eastAsia="Times New Roman" w:hAnsi="OpenSymbol"/>
      </w:rPr>
    </w:lvl>
    <w:lvl w:ilvl="3">
      <w:numFmt w:val="bullet"/>
      <w:lvlText w:val="•"/>
      <w:lvlJc w:val="left"/>
      <w:rPr>
        <w:rFonts w:ascii="OpenSymbol" w:eastAsia="Times New Roman" w:hAnsi="OpenSymbol"/>
      </w:rPr>
    </w:lvl>
    <w:lvl w:ilvl="4">
      <w:numFmt w:val="bullet"/>
      <w:lvlText w:val="◦"/>
      <w:lvlJc w:val="left"/>
      <w:rPr>
        <w:rFonts w:ascii="OpenSymbol" w:eastAsia="Times New Roman" w:hAnsi="OpenSymbol"/>
      </w:rPr>
    </w:lvl>
    <w:lvl w:ilvl="5">
      <w:numFmt w:val="bullet"/>
      <w:lvlText w:val="▪"/>
      <w:lvlJc w:val="left"/>
      <w:rPr>
        <w:rFonts w:ascii="OpenSymbol" w:eastAsia="Times New Roman" w:hAnsi="OpenSymbol"/>
      </w:rPr>
    </w:lvl>
    <w:lvl w:ilvl="6">
      <w:numFmt w:val="bullet"/>
      <w:lvlText w:val="•"/>
      <w:lvlJc w:val="left"/>
      <w:rPr>
        <w:rFonts w:ascii="OpenSymbol" w:eastAsia="Times New Roman" w:hAnsi="OpenSymbol"/>
      </w:rPr>
    </w:lvl>
    <w:lvl w:ilvl="7">
      <w:numFmt w:val="bullet"/>
      <w:lvlText w:val="◦"/>
      <w:lvlJc w:val="left"/>
      <w:rPr>
        <w:rFonts w:ascii="OpenSymbol" w:eastAsia="Times New Roman" w:hAnsi="OpenSymbol"/>
      </w:rPr>
    </w:lvl>
    <w:lvl w:ilvl="8">
      <w:numFmt w:val="bullet"/>
      <w:lvlText w:val="▪"/>
      <w:lvlJc w:val="left"/>
      <w:rPr>
        <w:rFonts w:ascii="OpenSymbol" w:eastAsia="Times New Roman" w:hAnsi="OpenSymbol"/>
      </w:rPr>
    </w:lvl>
  </w:abstractNum>
  <w:abstractNum w:abstractNumId="8" w15:restartNumberingAfterBreak="0">
    <w:nsid w:val="0CD62A5E"/>
    <w:multiLevelType w:val="multilevel"/>
    <w:tmpl w:val="13644350"/>
    <w:lvl w:ilvl="0">
      <w:numFmt w:val="bullet"/>
      <w:lvlText w:val="•"/>
      <w:lvlJc w:val="left"/>
      <w:rPr>
        <w:rFonts w:ascii="OpenSymbol" w:eastAsia="Times New Roman" w:hAnsi="OpenSymbol"/>
      </w:rPr>
    </w:lvl>
    <w:lvl w:ilvl="1">
      <w:numFmt w:val="bullet"/>
      <w:lvlText w:val="◦"/>
      <w:lvlJc w:val="left"/>
      <w:rPr>
        <w:rFonts w:ascii="OpenSymbol" w:eastAsia="Times New Roman" w:hAnsi="OpenSymbol"/>
      </w:rPr>
    </w:lvl>
    <w:lvl w:ilvl="2">
      <w:numFmt w:val="bullet"/>
      <w:lvlText w:val="▪"/>
      <w:lvlJc w:val="left"/>
      <w:rPr>
        <w:rFonts w:ascii="OpenSymbol" w:eastAsia="Times New Roman" w:hAnsi="OpenSymbol"/>
      </w:rPr>
    </w:lvl>
    <w:lvl w:ilvl="3">
      <w:numFmt w:val="bullet"/>
      <w:lvlText w:val="•"/>
      <w:lvlJc w:val="left"/>
      <w:rPr>
        <w:rFonts w:ascii="OpenSymbol" w:eastAsia="Times New Roman" w:hAnsi="OpenSymbol"/>
      </w:rPr>
    </w:lvl>
    <w:lvl w:ilvl="4">
      <w:numFmt w:val="bullet"/>
      <w:lvlText w:val="◦"/>
      <w:lvlJc w:val="left"/>
      <w:rPr>
        <w:rFonts w:ascii="OpenSymbol" w:eastAsia="Times New Roman" w:hAnsi="OpenSymbol"/>
      </w:rPr>
    </w:lvl>
    <w:lvl w:ilvl="5">
      <w:numFmt w:val="bullet"/>
      <w:lvlText w:val="▪"/>
      <w:lvlJc w:val="left"/>
      <w:rPr>
        <w:rFonts w:ascii="OpenSymbol" w:eastAsia="Times New Roman" w:hAnsi="OpenSymbol"/>
      </w:rPr>
    </w:lvl>
    <w:lvl w:ilvl="6">
      <w:numFmt w:val="bullet"/>
      <w:lvlText w:val="•"/>
      <w:lvlJc w:val="left"/>
      <w:rPr>
        <w:rFonts w:ascii="OpenSymbol" w:eastAsia="Times New Roman" w:hAnsi="OpenSymbol"/>
      </w:rPr>
    </w:lvl>
    <w:lvl w:ilvl="7">
      <w:numFmt w:val="bullet"/>
      <w:lvlText w:val="◦"/>
      <w:lvlJc w:val="left"/>
      <w:rPr>
        <w:rFonts w:ascii="OpenSymbol" w:eastAsia="Times New Roman" w:hAnsi="OpenSymbol"/>
      </w:rPr>
    </w:lvl>
    <w:lvl w:ilvl="8">
      <w:numFmt w:val="bullet"/>
      <w:lvlText w:val="▪"/>
      <w:lvlJc w:val="left"/>
      <w:rPr>
        <w:rFonts w:ascii="OpenSymbol" w:eastAsia="Times New Roman" w:hAnsi="OpenSymbol"/>
      </w:rPr>
    </w:lvl>
  </w:abstractNum>
  <w:abstractNum w:abstractNumId="9" w15:restartNumberingAfterBreak="0">
    <w:nsid w:val="157F70A8"/>
    <w:multiLevelType w:val="hybridMultilevel"/>
    <w:tmpl w:val="341A11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8A953F2"/>
    <w:multiLevelType w:val="hybridMultilevel"/>
    <w:tmpl w:val="270688D0"/>
    <w:lvl w:ilvl="0" w:tplc="3A949C0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EA42D24"/>
    <w:multiLevelType w:val="hybridMultilevel"/>
    <w:tmpl w:val="E91427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00172DA"/>
    <w:multiLevelType w:val="hybridMultilevel"/>
    <w:tmpl w:val="EE445F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50A245F"/>
    <w:multiLevelType w:val="hybridMultilevel"/>
    <w:tmpl w:val="1C3A3F0C"/>
    <w:lvl w:ilvl="0" w:tplc="1AF444CE">
      <w:start w:val="1"/>
      <w:numFmt w:val="decimal"/>
      <w:pStyle w:val="MDPI71References"/>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805051C"/>
    <w:multiLevelType w:val="hybridMultilevel"/>
    <w:tmpl w:val="857682CE"/>
    <w:lvl w:ilvl="0" w:tplc="CDCEE7DA">
      <w:start w:val="1"/>
      <w:numFmt w:val="decimal"/>
      <w:pStyle w:val="MDPI37itemize"/>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15" w15:restartNumberingAfterBreak="0">
    <w:nsid w:val="2B632F6D"/>
    <w:multiLevelType w:val="hybridMultilevel"/>
    <w:tmpl w:val="5378A8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BB7457F"/>
    <w:multiLevelType w:val="hybridMultilevel"/>
    <w:tmpl w:val="9A32D84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2773971"/>
    <w:multiLevelType w:val="multilevel"/>
    <w:tmpl w:val="C9C66578"/>
    <w:lvl w:ilvl="0">
      <w:numFmt w:val="bullet"/>
      <w:lvlText w:val="•"/>
      <w:lvlJc w:val="left"/>
      <w:rPr>
        <w:rFonts w:ascii="OpenSymbol" w:eastAsia="Times New Roman" w:hAnsi="OpenSymbol"/>
      </w:rPr>
    </w:lvl>
    <w:lvl w:ilvl="1">
      <w:numFmt w:val="bullet"/>
      <w:lvlText w:val="◦"/>
      <w:lvlJc w:val="left"/>
      <w:rPr>
        <w:rFonts w:ascii="OpenSymbol" w:eastAsia="Times New Roman" w:hAnsi="OpenSymbol"/>
      </w:rPr>
    </w:lvl>
    <w:lvl w:ilvl="2">
      <w:numFmt w:val="bullet"/>
      <w:lvlText w:val="▪"/>
      <w:lvlJc w:val="left"/>
      <w:rPr>
        <w:rFonts w:ascii="OpenSymbol" w:eastAsia="Times New Roman" w:hAnsi="OpenSymbol"/>
      </w:rPr>
    </w:lvl>
    <w:lvl w:ilvl="3">
      <w:numFmt w:val="bullet"/>
      <w:lvlText w:val="•"/>
      <w:lvlJc w:val="left"/>
      <w:rPr>
        <w:rFonts w:ascii="OpenSymbol" w:eastAsia="Times New Roman" w:hAnsi="OpenSymbol"/>
      </w:rPr>
    </w:lvl>
    <w:lvl w:ilvl="4">
      <w:numFmt w:val="bullet"/>
      <w:lvlText w:val="◦"/>
      <w:lvlJc w:val="left"/>
      <w:rPr>
        <w:rFonts w:ascii="OpenSymbol" w:eastAsia="Times New Roman" w:hAnsi="OpenSymbol"/>
      </w:rPr>
    </w:lvl>
    <w:lvl w:ilvl="5">
      <w:numFmt w:val="bullet"/>
      <w:lvlText w:val="▪"/>
      <w:lvlJc w:val="left"/>
      <w:rPr>
        <w:rFonts w:ascii="OpenSymbol" w:eastAsia="Times New Roman" w:hAnsi="OpenSymbol"/>
      </w:rPr>
    </w:lvl>
    <w:lvl w:ilvl="6">
      <w:numFmt w:val="bullet"/>
      <w:lvlText w:val="•"/>
      <w:lvlJc w:val="left"/>
      <w:rPr>
        <w:rFonts w:ascii="OpenSymbol" w:eastAsia="Times New Roman" w:hAnsi="OpenSymbol"/>
      </w:rPr>
    </w:lvl>
    <w:lvl w:ilvl="7">
      <w:numFmt w:val="bullet"/>
      <w:lvlText w:val="◦"/>
      <w:lvlJc w:val="left"/>
      <w:rPr>
        <w:rFonts w:ascii="OpenSymbol" w:eastAsia="Times New Roman" w:hAnsi="OpenSymbol"/>
      </w:rPr>
    </w:lvl>
    <w:lvl w:ilvl="8">
      <w:numFmt w:val="bullet"/>
      <w:lvlText w:val="▪"/>
      <w:lvlJc w:val="left"/>
      <w:rPr>
        <w:rFonts w:ascii="OpenSymbol" w:eastAsia="Times New Roman" w:hAnsi="OpenSymbol"/>
      </w:rPr>
    </w:lvl>
  </w:abstractNum>
  <w:abstractNum w:abstractNumId="18" w15:restartNumberingAfterBreak="0">
    <w:nsid w:val="32AD483F"/>
    <w:multiLevelType w:val="hybridMultilevel"/>
    <w:tmpl w:val="AF3C2D9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369A6535"/>
    <w:multiLevelType w:val="hybridMultilevel"/>
    <w:tmpl w:val="781408B4"/>
    <w:lvl w:ilvl="0" w:tplc="B2367048">
      <w:start w:val="1"/>
      <w:numFmt w:val="bullet"/>
      <w:pStyle w:val="MDPI38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20" w15:restartNumberingAfterBreak="0">
    <w:nsid w:val="375C077C"/>
    <w:multiLevelType w:val="multilevel"/>
    <w:tmpl w:val="9B12741C"/>
    <w:lvl w:ilvl="0">
      <w:numFmt w:val="bullet"/>
      <w:lvlText w:val="•"/>
      <w:lvlJc w:val="left"/>
      <w:rPr>
        <w:rFonts w:ascii="OpenSymbol" w:eastAsia="Times New Roman" w:hAnsi="OpenSymbol"/>
      </w:rPr>
    </w:lvl>
    <w:lvl w:ilvl="1">
      <w:numFmt w:val="bullet"/>
      <w:lvlText w:val="◦"/>
      <w:lvlJc w:val="left"/>
      <w:rPr>
        <w:rFonts w:ascii="OpenSymbol" w:eastAsia="Times New Roman" w:hAnsi="OpenSymbol"/>
      </w:rPr>
    </w:lvl>
    <w:lvl w:ilvl="2">
      <w:numFmt w:val="bullet"/>
      <w:lvlText w:val="▪"/>
      <w:lvlJc w:val="left"/>
      <w:rPr>
        <w:rFonts w:ascii="OpenSymbol" w:eastAsia="Times New Roman" w:hAnsi="OpenSymbol"/>
      </w:rPr>
    </w:lvl>
    <w:lvl w:ilvl="3">
      <w:numFmt w:val="bullet"/>
      <w:lvlText w:val="•"/>
      <w:lvlJc w:val="left"/>
      <w:rPr>
        <w:rFonts w:ascii="OpenSymbol" w:eastAsia="Times New Roman" w:hAnsi="OpenSymbol"/>
      </w:rPr>
    </w:lvl>
    <w:lvl w:ilvl="4">
      <w:numFmt w:val="bullet"/>
      <w:lvlText w:val="◦"/>
      <w:lvlJc w:val="left"/>
      <w:rPr>
        <w:rFonts w:ascii="OpenSymbol" w:eastAsia="Times New Roman" w:hAnsi="OpenSymbol"/>
      </w:rPr>
    </w:lvl>
    <w:lvl w:ilvl="5">
      <w:numFmt w:val="bullet"/>
      <w:lvlText w:val="▪"/>
      <w:lvlJc w:val="left"/>
      <w:rPr>
        <w:rFonts w:ascii="OpenSymbol" w:eastAsia="Times New Roman" w:hAnsi="OpenSymbol"/>
      </w:rPr>
    </w:lvl>
    <w:lvl w:ilvl="6">
      <w:numFmt w:val="bullet"/>
      <w:lvlText w:val="•"/>
      <w:lvlJc w:val="left"/>
      <w:rPr>
        <w:rFonts w:ascii="OpenSymbol" w:eastAsia="Times New Roman" w:hAnsi="OpenSymbol"/>
      </w:rPr>
    </w:lvl>
    <w:lvl w:ilvl="7">
      <w:numFmt w:val="bullet"/>
      <w:lvlText w:val="◦"/>
      <w:lvlJc w:val="left"/>
      <w:rPr>
        <w:rFonts w:ascii="OpenSymbol" w:eastAsia="Times New Roman" w:hAnsi="OpenSymbol"/>
      </w:rPr>
    </w:lvl>
    <w:lvl w:ilvl="8">
      <w:numFmt w:val="bullet"/>
      <w:lvlText w:val="▪"/>
      <w:lvlJc w:val="left"/>
      <w:rPr>
        <w:rFonts w:ascii="OpenSymbol" w:eastAsia="Times New Roman" w:hAnsi="OpenSymbol"/>
      </w:rPr>
    </w:lvl>
  </w:abstractNum>
  <w:abstractNum w:abstractNumId="21" w15:restartNumberingAfterBreak="0">
    <w:nsid w:val="38F716D6"/>
    <w:multiLevelType w:val="multilevel"/>
    <w:tmpl w:val="6DA84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BF02FC2"/>
    <w:multiLevelType w:val="hybridMultilevel"/>
    <w:tmpl w:val="C774285C"/>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3CAA0321"/>
    <w:multiLevelType w:val="hybridMultilevel"/>
    <w:tmpl w:val="929AC48C"/>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1D9662B"/>
    <w:multiLevelType w:val="hybridMultilevel"/>
    <w:tmpl w:val="9760B6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24A535A"/>
    <w:multiLevelType w:val="hybridMultilevel"/>
    <w:tmpl w:val="E83014B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43025C22"/>
    <w:multiLevelType w:val="hybridMultilevel"/>
    <w:tmpl w:val="847AE67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15:restartNumberingAfterBreak="0">
    <w:nsid w:val="48900B74"/>
    <w:multiLevelType w:val="hybridMultilevel"/>
    <w:tmpl w:val="443C3EE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4A7C334D"/>
    <w:multiLevelType w:val="hybridMultilevel"/>
    <w:tmpl w:val="7AB62B6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9" w15:restartNumberingAfterBreak="0">
    <w:nsid w:val="4E734B27"/>
    <w:multiLevelType w:val="multilevel"/>
    <w:tmpl w:val="C5D4E3FA"/>
    <w:lvl w:ilvl="0">
      <w:numFmt w:val="bullet"/>
      <w:lvlText w:val="•"/>
      <w:lvlJc w:val="left"/>
      <w:rPr>
        <w:rFonts w:ascii="OpenSymbol" w:eastAsia="Times New Roman" w:hAnsi="OpenSymbol"/>
      </w:rPr>
    </w:lvl>
    <w:lvl w:ilvl="1">
      <w:numFmt w:val="bullet"/>
      <w:lvlText w:val="◦"/>
      <w:lvlJc w:val="left"/>
      <w:rPr>
        <w:rFonts w:ascii="OpenSymbol" w:eastAsia="Times New Roman" w:hAnsi="OpenSymbol"/>
      </w:rPr>
    </w:lvl>
    <w:lvl w:ilvl="2">
      <w:numFmt w:val="bullet"/>
      <w:lvlText w:val="▪"/>
      <w:lvlJc w:val="left"/>
      <w:rPr>
        <w:rFonts w:ascii="OpenSymbol" w:eastAsia="Times New Roman" w:hAnsi="OpenSymbol"/>
      </w:rPr>
    </w:lvl>
    <w:lvl w:ilvl="3">
      <w:numFmt w:val="bullet"/>
      <w:lvlText w:val="•"/>
      <w:lvlJc w:val="left"/>
      <w:rPr>
        <w:rFonts w:ascii="OpenSymbol" w:eastAsia="Times New Roman" w:hAnsi="OpenSymbol"/>
      </w:rPr>
    </w:lvl>
    <w:lvl w:ilvl="4">
      <w:numFmt w:val="bullet"/>
      <w:lvlText w:val="◦"/>
      <w:lvlJc w:val="left"/>
      <w:rPr>
        <w:rFonts w:ascii="OpenSymbol" w:eastAsia="Times New Roman" w:hAnsi="OpenSymbol"/>
      </w:rPr>
    </w:lvl>
    <w:lvl w:ilvl="5">
      <w:numFmt w:val="bullet"/>
      <w:lvlText w:val="▪"/>
      <w:lvlJc w:val="left"/>
      <w:rPr>
        <w:rFonts w:ascii="OpenSymbol" w:eastAsia="Times New Roman" w:hAnsi="OpenSymbol"/>
      </w:rPr>
    </w:lvl>
    <w:lvl w:ilvl="6">
      <w:numFmt w:val="bullet"/>
      <w:lvlText w:val="•"/>
      <w:lvlJc w:val="left"/>
      <w:rPr>
        <w:rFonts w:ascii="OpenSymbol" w:eastAsia="Times New Roman" w:hAnsi="OpenSymbol"/>
      </w:rPr>
    </w:lvl>
    <w:lvl w:ilvl="7">
      <w:numFmt w:val="bullet"/>
      <w:lvlText w:val="◦"/>
      <w:lvlJc w:val="left"/>
      <w:rPr>
        <w:rFonts w:ascii="OpenSymbol" w:eastAsia="Times New Roman" w:hAnsi="OpenSymbol"/>
      </w:rPr>
    </w:lvl>
    <w:lvl w:ilvl="8">
      <w:numFmt w:val="bullet"/>
      <w:lvlText w:val="▪"/>
      <w:lvlJc w:val="left"/>
      <w:rPr>
        <w:rFonts w:ascii="OpenSymbol" w:eastAsia="Times New Roman" w:hAnsi="OpenSymbol"/>
      </w:rPr>
    </w:lvl>
  </w:abstractNum>
  <w:abstractNum w:abstractNumId="30" w15:restartNumberingAfterBreak="0">
    <w:nsid w:val="54DE0BEC"/>
    <w:multiLevelType w:val="hybridMultilevel"/>
    <w:tmpl w:val="E19492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5B603F2B"/>
    <w:multiLevelType w:val="hybridMultilevel"/>
    <w:tmpl w:val="0F1601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C544A1F"/>
    <w:multiLevelType w:val="multilevel"/>
    <w:tmpl w:val="A11E97FE"/>
    <w:lvl w:ilvl="0">
      <w:numFmt w:val="bullet"/>
      <w:lvlText w:val="•"/>
      <w:lvlJc w:val="left"/>
      <w:rPr>
        <w:rFonts w:ascii="OpenSymbol" w:eastAsia="Times New Roman" w:hAnsi="OpenSymbol"/>
      </w:rPr>
    </w:lvl>
    <w:lvl w:ilvl="1">
      <w:numFmt w:val="bullet"/>
      <w:lvlText w:val="◦"/>
      <w:lvlJc w:val="left"/>
      <w:rPr>
        <w:rFonts w:ascii="OpenSymbol" w:eastAsia="Times New Roman" w:hAnsi="OpenSymbol"/>
      </w:rPr>
    </w:lvl>
    <w:lvl w:ilvl="2">
      <w:numFmt w:val="bullet"/>
      <w:lvlText w:val="▪"/>
      <w:lvlJc w:val="left"/>
      <w:rPr>
        <w:rFonts w:ascii="OpenSymbol" w:eastAsia="Times New Roman" w:hAnsi="OpenSymbol"/>
      </w:rPr>
    </w:lvl>
    <w:lvl w:ilvl="3">
      <w:numFmt w:val="bullet"/>
      <w:lvlText w:val="•"/>
      <w:lvlJc w:val="left"/>
      <w:rPr>
        <w:rFonts w:ascii="OpenSymbol" w:eastAsia="Times New Roman" w:hAnsi="OpenSymbol"/>
      </w:rPr>
    </w:lvl>
    <w:lvl w:ilvl="4">
      <w:numFmt w:val="bullet"/>
      <w:lvlText w:val="◦"/>
      <w:lvlJc w:val="left"/>
      <w:rPr>
        <w:rFonts w:ascii="OpenSymbol" w:eastAsia="Times New Roman" w:hAnsi="OpenSymbol"/>
      </w:rPr>
    </w:lvl>
    <w:lvl w:ilvl="5">
      <w:numFmt w:val="bullet"/>
      <w:lvlText w:val="▪"/>
      <w:lvlJc w:val="left"/>
      <w:rPr>
        <w:rFonts w:ascii="OpenSymbol" w:eastAsia="Times New Roman" w:hAnsi="OpenSymbol"/>
      </w:rPr>
    </w:lvl>
    <w:lvl w:ilvl="6">
      <w:numFmt w:val="bullet"/>
      <w:lvlText w:val="•"/>
      <w:lvlJc w:val="left"/>
      <w:rPr>
        <w:rFonts w:ascii="OpenSymbol" w:eastAsia="Times New Roman" w:hAnsi="OpenSymbol"/>
      </w:rPr>
    </w:lvl>
    <w:lvl w:ilvl="7">
      <w:numFmt w:val="bullet"/>
      <w:lvlText w:val="◦"/>
      <w:lvlJc w:val="left"/>
      <w:rPr>
        <w:rFonts w:ascii="OpenSymbol" w:eastAsia="Times New Roman" w:hAnsi="OpenSymbol"/>
      </w:rPr>
    </w:lvl>
    <w:lvl w:ilvl="8">
      <w:numFmt w:val="bullet"/>
      <w:lvlText w:val="▪"/>
      <w:lvlJc w:val="left"/>
      <w:rPr>
        <w:rFonts w:ascii="OpenSymbol" w:eastAsia="Times New Roman" w:hAnsi="OpenSymbol"/>
      </w:rPr>
    </w:lvl>
  </w:abstractNum>
  <w:abstractNum w:abstractNumId="33" w15:restartNumberingAfterBreak="0">
    <w:nsid w:val="605C6680"/>
    <w:multiLevelType w:val="hybridMultilevel"/>
    <w:tmpl w:val="2A6E32D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3603371"/>
    <w:multiLevelType w:val="multilevel"/>
    <w:tmpl w:val="787813F8"/>
    <w:lvl w:ilvl="0">
      <w:numFmt w:val="bullet"/>
      <w:lvlText w:val="•"/>
      <w:lvlJc w:val="left"/>
      <w:rPr>
        <w:rFonts w:ascii="OpenSymbol" w:eastAsia="Times New Roman" w:hAnsi="OpenSymbol"/>
      </w:rPr>
    </w:lvl>
    <w:lvl w:ilvl="1">
      <w:numFmt w:val="bullet"/>
      <w:lvlText w:val="◦"/>
      <w:lvlJc w:val="left"/>
      <w:rPr>
        <w:rFonts w:ascii="OpenSymbol" w:eastAsia="Times New Roman" w:hAnsi="OpenSymbol"/>
      </w:rPr>
    </w:lvl>
    <w:lvl w:ilvl="2">
      <w:numFmt w:val="bullet"/>
      <w:lvlText w:val="▪"/>
      <w:lvlJc w:val="left"/>
      <w:rPr>
        <w:rFonts w:ascii="OpenSymbol" w:eastAsia="Times New Roman" w:hAnsi="OpenSymbol"/>
      </w:rPr>
    </w:lvl>
    <w:lvl w:ilvl="3">
      <w:numFmt w:val="bullet"/>
      <w:lvlText w:val="•"/>
      <w:lvlJc w:val="left"/>
      <w:rPr>
        <w:rFonts w:ascii="OpenSymbol" w:eastAsia="Times New Roman" w:hAnsi="OpenSymbol"/>
      </w:rPr>
    </w:lvl>
    <w:lvl w:ilvl="4">
      <w:numFmt w:val="bullet"/>
      <w:lvlText w:val="◦"/>
      <w:lvlJc w:val="left"/>
      <w:rPr>
        <w:rFonts w:ascii="OpenSymbol" w:eastAsia="Times New Roman" w:hAnsi="OpenSymbol"/>
      </w:rPr>
    </w:lvl>
    <w:lvl w:ilvl="5">
      <w:numFmt w:val="bullet"/>
      <w:lvlText w:val="▪"/>
      <w:lvlJc w:val="left"/>
      <w:rPr>
        <w:rFonts w:ascii="OpenSymbol" w:eastAsia="Times New Roman" w:hAnsi="OpenSymbol"/>
      </w:rPr>
    </w:lvl>
    <w:lvl w:ilvl="6">
      <w:numFmt w:val="bullet"/>
      <w:lvlText w:val="•"/>
      <w:lvlJc w:val="left"/>
      <w:rPr>
        <w:rFonts w:ascii="OpenSymbol" w:eastAsia="Times New Roman" w:hAnsi="OpenSymbol"/>
      </w:rPr>
    </w:lvl>
    <w:lvl w:ilvl="7">
      <w:numFmt w:val="bullet"/>
      <w:lvlText w:val="◦"/>
      <w:lvlJc w:val="left"/>
      <w:rPr>
        <w:rFonts w:ascii="OpenSymbol" w:eastAsia="Times New Roman" w:hAnsi="OpenSymbol"/>
      </w:rPr>
    </w:lvl>
    <w:lvl w:ilvl="8">
      <w:numFmt w:val="bullet"/>
      <w:lvlText w:val="▪"/>
      <w:lvlJc w:val="left"/>
      <w:rPr>
        <w:rFonts w:ascii="OpenSymbol" w:eastAsia="Times New Roman" w:hAnsi="OpenSymbol"/>
      </w:rPr>
    </w:lvl>
  </w:abstractNum>
  <w:abstractNum w:abstractNumId="35" w15:restartNumberingAfterBreak="0">
    <w:nsid w:val="659F6086"/>
    <w:multiLevelType w:val="hybridMultilevel"/>
    <w:tmpl w:val="A1384F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67FF6C6F"/>
    <w:multiLevelType w:val="hybridMultilevel"/>
    <w:tmpl w:val="537626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9831CF2"/>
    <w:multiLevelType w:val="hybridMultilevel"/>
    <w:tmpl w:val="4184E3A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9B46104"/>
    <w:multiLevelType w:val="hybridMultilevel"/>
    <w:tmpl w:val="929AC48C"/>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DB62530"/>
    <w:multiLevelType w:val="hybridMultilevel"/>
    <w:tmpl w:val="C7CA4CA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703745A2"/>
    <w:multiLevelType w:val="multilevel"/>
    <w:tmpl w:val="1C1E3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48430A8"/>
    <w:multiLevelType w:val="hybridMultilevel"/>
    <w:tmpl w:val="964078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767C3E27"/>
    <w:multiLevelType w:val="hybridMultilevel"/>
    <w:tmpl w:val="2CEA7B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6E91272"/>
    <w:multiLevelType w:val="hybridMultilevel"/>
    <w:tmpl w:val="BE88D6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739183B"/>
    <w:multiLevelType w:val="hybridMultilevel"/>
    <w:tmpl w:val="9EF0DD4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BA41DEE"/>
    <w:multiLevelType w:val="hybridMultilevel"/>
    <w:tmpl w:val="363CE792"/>
    <w:lvl w:ilvl="0" w:tplc="A2225A8C">
      <w:start w:val="5"/>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C384C1B"/>
    <w:multiLevelType w:val="hybridMultilevel"/>
    <w:tmpl w:val="FCACDCE0"/>
    <w:lvl w:ilvl="0" w:tplc="04070001">
      <w:start w:val="1"/>
      <w:numFmt w:val="bullet"/>
      <w:lvlText w:val=""/>
      <w:lvlJc w:val="left"/>
      <w:pPr>
        <w:ind w:left="783" w:hanging="360"/>
      </w:pPr>
      <w:rPr>
        <w:rFonts w:ascii="Symbol" w:hAnsi="Symbol" w:hint="default"/>
      </w:rPr>
    </w:lvl>
    <w:lvl w:ilvl="1" w:tplc="04070003">
      <w:start w:val="1"/>
      <w:numFmt w:val="bullet"/>
      <w:lvlText w:val="o"/>
      <w:lvlJc w:val="left"/>
      <w:pPr>
        <w:ind w:left="1503" w:hanging="360"/>
      </w:pPr>
      <w:rPr>
        <w:rFonts w:ascii="Courier New" w:hAnsi="Courier New" w:cs="Courier New" w:hint="default"/>
      </w:rPr>
    </w:lvl>
    <w:lvl w:ilvl="2" w:tplc="04070005" w:tentative="1">
      <w:start w:val="1"/>
      <w:numFmt w:val="bullet"/>
      <w:lvlText w:val=""/>
      <w:lvlJc w:val="left"/>
      <w:pPr>
        <w:ind w:left="2223" w:hanging="360"/>
      </w:pPr>
      <w:rPr>
        <w:rFonts w:ascii="Wingdings" w:hAnsi="Wingdings" w:hint="default"/>
      </w:rPr>
    </w:lvl>
    <w:lvl w:ilvl="3" w:tplc="04070001" w:tentative="1">
      <w:start w:val="1"/>
      <w:numFmt w:val="bullet"/>
      <w:lvlText w:val=""/>
      <w:lvlJc w:val="left"/>
      <w:pPr>
        <w:ind w:left="2943" w:hanging="360"/>
      </w:pPr>
      <w:rPr>
        <w:rFonts w:ascii="Symbol" w:hAnsi="Symbol" w:hint="default"/>
      </w:rPr>
    </w:lvl>
    <w:lvl w:ilvl="4" w:tplc="04070003" w:tentative="1">
      <w:start w:val="1"/>
      <w:numFmt w:val="bullet"/>
      <w:lvlText w:val="o"/>
      <w:lvlJc w:val="left"/>
      <w:pPr>
        <w:ind w:left="3663" w:hanging="360"/>
      </w:pPr>
      <w:rPr>
        <w:rFonts w:ascii="Courier New" w:hAnsi="Courier New" w:cs="Courier New" w:hint="default"/>
      </w:rPr>
    </w:lvl>
    <w:lvl w:ilvl="5" w:tplc="04070005" w:tentative="1">
      <w:start w:val="1"/>
      <w:numFmt w:val="bullet"/>
      <w:lvlText w:val=""/>
      <w:lvlJc w:val="left"/>
      <w:pPr>
        <w:ind w:left="4383" w:hanging="360"/>
      </w:pPr>
      <w:rPr>
        <w:rFonts w:ascii="Wingdings" w:hAnsi="Wingdings" w:hint="default"/>
      </w:rPr>
    </w:lvl>
    <w:lvl w:ilvl="6" w:tplc="04070001" w:tentative="1">
      <w:start w:val="1"/>
      <w:numFmt w:val="bullet"/>
      <w:lvlText w:val=""/>
      <w:lvlJc w:val="left"/>
      <w:pPr>
        <w:ind w:left="5103" w:hanging="360"/>
      </w:pPr>
      <w:rPr>
        <w:rFonts w:ascii="Symbol" w:hAnsi="Symbol" w:hint="default"/>
      </w:rPr>
    </w:lvl>
    <w:lvl w:ilvl="7" w:tplc="04070003" w:tentative="1">
      <w:start w:val="1"/>
      <w:numFmt w:val="bullet"/>
      <w:lvlText w:val="o"/>
      <w:lvlJc w:val="left"/>
      <w:pPr>
        <w:ind w:left="5823" w:hanging="360"/>
      </w:pPr>
      <w:rPr>
        <w:rFonts w:ascii="Courier New" w:hAnsi="Courier New" w:cs="Courier New" w:hint="default"/>
      </w:rPr>
    </w:lvl>
    <w:lvl w:ilvl="8" w:tplc="04070005" w:tentative="1">
      <w:start w:val="1"/>
      <w:numFmt w:val="bullet"/>
      <w:lvlText w:val=""/>
      <w:lvlJc w:val="left"/>
      <w:pPr>
        <w:ind w:left="6543" w:hanging="360"/>
      </w:pPr>
      <w:rPr>
        <w:rFonts w:ascii="Wingdings" w:hAnsi="Wingdings" w:hint="default"/>
      </w:rPr>
    </w:lvl>
  </w:abstractNum>
  <w:abstractNum w:abstractNumId="47" w15:restartNumberingAfterBreak="0">
    <w:nsid w:val="7C406CFD"/>
    <w:multiLevelType w:val="hybridMultilevel"/>
    <w:tmpl w:val="06B009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7F175FEF"/>
    <w:multiLevelType w:val="multilevel"/>
    <w:tmpl w:val="6332FF5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15"/>
  </w:num>
  <w:num w:numId="2">
    <w:abstractNumId w:val="35"/>
  </w:num>
  <w:num w:numId="3">
    <w:abstractNumId w:val="7"/>
  </w:num>
  <w:num w:numId="4">
    <w:abstractNumId w:val="34"/>
  </w:num>
  <w:num w:numId="5">
    <w:abstractNumId w:val="32"/>
  </w:num>
  <w:num w:numId="6">
    <w:abstractNumId w:val="17"/>
  </w:num>
  <w:num w:numId="7">
    <w:abstractNumId w:val="20"/>
  </w:num>
  <w:num w:numId="8">
    <w:abstractNumId w:val="29"/>
  </w:num>
  <w:num w:numId="9">
    <w:abstractNumId w:val="8"/>
  </w:num>
  <w:num w:numId="10">
    <w:abstractNumId w:val="30"/>
  </w:num>
  <w:num w:numId="11">
    <w:abstractNumId w:val="22"/>
  </w:num>
  <w:num w:numId="12">
    <w:abstractNumId w:val="48"/>
  </w:num>
  <w:num w:numId="13">
    <w:abstractNumId w:val="12"/>
  </w:num>
  <w:num w:numId="14">
    <w:abstractNumId w:val="0"/>
  </w:num>
  <w:num w:numId="15">
    <w:abstractNumId w:val="11"/>
  </w:num>
  <w:num w:numId="16">
    <w:abstractNumId w:val="46"/>
  </w:num>
  <w:num w:numId="17">
    <w:abstractNumId w:val="3"/>
  </w:num>
  <w:num w:numId="18">
    <w:abstractNumId w:val="41"/>
  </w:num>
  <w:num w:numId="19">
    <w:abstractNumId w:val="25"/>
  </w:num>
  <w:num w:numId="20">
    <w:abstractNumId w:val="1"/>
  </w:num>
  <w:num w:numId="21">
    <w:abstractNumId w:val="4"/>
  </w:num>
  <w:num w:numId="22">
    <w:abstractNumId w:val="27"/>
  </w:num>
  <w:num w:numId="23">
    <w:abstractNumId w:val="39"/>
  </w:num>
  <w:num w:numId="24">
    <w:abstractNumId w:val="45"/>
  </w:num>
  <w:num w:numId="25">
    <w:abstractNumId w:val="31"/>
  </w:num>
  <w:num w:numId="26">
    <w:abstractNumId w:val="33"/>
  </w:num>
  <w:num w:numId="27">
    <w:abstractNumId w:val="23"/>
  </w:num>
  <w:num w:numId="28">
    <w:abstractNumId w:val="43"/>
  </w:num>
  <w:num w:numId="29">
    <w:abstractNumId w:val="24"/>
  </w:num>
  <w:num w:numId="30">
    <w:abstractNumId w:val="37"/>
  </w:num>
  <w:num w:numId="31">
    <w:abstractNumId w:val="2"/>
  </w:num>
  <w:num w:numId="32">
    <w:abstractNumId w:val="16"/>
  </w:num>
  <w:num w:numId="33">
    <w:abstractNumId w:val="6"/>
  </w:num>
  <w:num w:numId="34">
    <w:abstractNumId w:val="44"/>
  </w:num>
  <w:num w:numId="35">
    <w:abstractNumId w:val="10"/>
  </w:num>
  <w:num w:numId="36">
    <w:abstractNumId w:val="36"/>
  </w:num>
  <w:num w:numId="37">
    <w:abstractNumId w:val="9"/>
  </w:num>
  <w:num w:numId="38">
    <w:abstractNumId w:val="47"/>
  </w:num>
  <w:num w:numId="39">
    <w:abstractNumId w:val="38"/>
  </w:num>
  <w:num w:numId="40">
    <w:abstractNumId w:val="18"/>
  </w:num>
  <w:num w:numId="41">
    <w:abstractNumId w:val="5"/>
  </w:num>
  <w:num w:numId="42">
    <w:abstractNumId w:val="28"/>
  </w:num>
  <w:num w:numId="43">
    <w:abstractNumId w:val="26"/>
  </w:num>
  <w:num w:numId="44">
    <w:abstractNumId w:val="21"/>
  </w:num>
  <w:num w:numId="45">
    <w:abstractNumId w:val="42"/>
  </w:num>
  <w:num w:numId="46">
    <w:abstractNumId w:val="40"/>
  </w:num>
  <w:num w:numId="47">
    <w:abstractNumId w:val="14"/>
  </w:num>
  <w:num w:numId="48">
    <w:abstractNumId w:val="19"/>
  </w:num>
  <w:num w:numId="4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doNotDisplayPageBoundaries/>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Euro Radi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2z9vpzflswwwzevdvh5x5ajzrpzvzxfxza2&quot;&gt;kerstin-Converted&lt;record-ids&gt;&lt;item&gt;1626&lt;/item&gt;&lt;/record-ids&gt;&lt;/item&gt;&lt;/Libraries&gt;"/>
  </w:docVars>
  <w:rsids>
    <w:rsidRoot w:val="00156BCB"/>
    <w:rsid w:val="00016F3B"/>
    <w:rsid w:val="00055665"/>
    <w:rsid w:val="000928EE"/>
    <w:rsid w:val="00095192"/>
    <w:rsid w:val="000A003B"/>
    <w:rsid w:val="000C7657"/>
    <w:rsid w:val="000F6C6F"/>
    <w:rsid w:val="00132BD4"/>
    <w:rsid w:val="00156BCB"/>
    <w:rsid w:val="00195C90"/>
    <w:rsid w:val="001E1DD2"/>
    <w:rsid w:val="001F6173"/>
    <w:rsid w:val="00207F77"/>
    <w:rsid w:val="00210367"/>
    <w:rsid w:val="00240741"/>
    <w:rsid w:val="00274B4B"/>
    <w:rsid w:val="00294DA7"/>
    <w:rsid w:val="002A51DF"/>
    <w:rsid w:val="00326080"/>
    <w:rsid w:val="00362B85"/>
    <w:rsid w:val="003D5B79"/>
    <w:rsid w:val="003F5CC1"/>
    <w:rsid w:val="0041647D"/>
    <w:rsid w:val="0041776A"/>
    <w:rsid w:val="004247DB"/>
    <w:rsid w:val="00444ACC"/>
    <w:rsid w:val="00454C01"/>
    <w:rsid w:val="004706B8"/>
    <w:rsid w:val="004813F9"/>
    <w:rsid w:val="00492A17"/>
    <w:rsid w:val="004D30B5"/>
    <w:rsid w:val="004E53C4"/>
    <w:rsid w:val="00500DAC"/>
    <w:rsid w:val="0053747F"/>
    <w:rsid w:val="005636C0"/>
    <w:rsid w:val="0058002F"/>
    <w:rsid w:val="00596F69"/>
    <w:rsid w:val="00653252"/>
    <w:rsid w:val="00675CC6"/>
    <w:rsid w:val="006866A4"/>
    <w:rsid w:val="00697A4D"/>
    <w:rsid w:val="006A6469"/>
    <w:rsid w:val="006C7779"/>
    <w:rsid w:val="006C7D99"/>
    <w:rsid w:val="006E01FE"/>
    <w:rsid w:val="00787A71"/>
    <w:rsid w:val="007A42FE"/>
    <w:rsid w:val="007B7BA3"/>
    <w:rsid w:val="007F5C7E"/>
    <w:rsid w:val="00813374"/>
    <w:rsid w:val="008167F3"/>
    <w:rsid w:val="00835833"/>
    <w:rsid w:val="008813E5"/>
    <w:rsid w:val="00895E1F"/>
    <w:rsid w:val="00897CDC"/>
    <w:rsid w:val="008C53BE"/>
    <w:rsid w:val="008E2566"/>
    <w:rsid w:val="008F0388"/>
    <w:rsid w:val="00921D17"/>
    <w:rsid w:val="00927182"/>
    <w:rsid w:val="00940BFA"/>
    <w:rsid w:val="00947342"/>
    <w:rsid w:val="00947AF8"/>
    <w:rsid w:val="0096643D"/>
    <w:rsid w:val="00992A4C"/>
    <w:rsid w:val="009F61D3"/>
    <w:rsid w:val="00A22826"/>
    <w:rsid w:val="00A30AD5"/>
    <w:rsid w:val="00A518EA"/>
    <w:rsid w:val="00A61A08"/>
    <w:rsid w:val="00A63724"/>
    <w:rsid w:val="00A755CE"/>
    <w:rsid w:val="00A93215"/>
    <w:rsid w:val="00AB2CEE"/>
    <w:rsid w:val="00B034D4"/>
    <w:rsid w:val="00BA433D"/>
    <w:rsid w:val="00BD04BD"/>
    <w:rsid w:val="00C40639"/>
    <w:rsid w:val="00C67F62"/>
    <w:rsid w:val="00C837C7"/>
    <w:rsid w:val="00CB09A5"/>
    <w:rsid w:val="00CC5559"/>
    <w:rsid w:val="00CF1CFA"/>
    <w:rsid w:val="00D66501"/>
    <w:rsid w:val="00D74FB2"/>
    <w:rsid w:val="00D75131"/>
    <w:rsid w:val="00DC00CF"/>
    <w:rsid w:val="00DD7C87"/>
    <w:rsid w:val="00DE6CA0"/>
    <w:rsid w:val="00DF4780"/>
    <w:rsid w:val="00DF56A7"/>
    <w:rsid w:val="00E10DAF"/>
    <w:rsid w:val="00E164DD"/>
    <w:rsid w:val="00E517A2"/>
    <w:rsid w:val="00E64D02"/>
    <w:rsid w:val="00E826A9"/>
    <w:rsid w:val="00EA4CA5"/>
    <w:rsid w:val="00EA5A64"/>
    <w:rsid w:val="00EC56E6"/>
    <w:rsid w:val="00EE7DDC"/>
    <w:rsid w:val="00F12BED"/>
    <w:rsid w:val="00F30ED1"/>
    <w:rsid w:val="00F563BD"/>
    <w:rsid w:val="00F62711"/>
    <w:rsid w:val="00F71A58"/>
    <w:rsid w:val="00F87214"/>
    <w:rsid w:val="00FC1A6A"/>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75892"/>
  <w15:chartTrackingRefBased/>
  <w15:docId w15:val="{B8D7B154-7C1D-4058-90AA-3A9AB2021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56BCB"/>
    <w:pPr>
      <w:spacing w:after="200" w:line="276" w:lineRule="auto"/>
    </w:pPr>
    <w:rPr>
      <w:lang w:val="de-DE"/>
    </w:rPr>
  </w:style>
  <w:style w:type="paragraph" w:styleId="Rubrik1">
    <w:name w:val="heading 1"/>
    <w:basedOn w:val="Normal"/>
    <w:link w:val="Rubrik1Char"/>
    <w:uiPriority w:val="9"/>
    <w:qFormat/>
    <w:rsid w:val="00156BCB"/>
    <w:pPr>
      <w:spacing w:before="100" w:beforeAutospacing="1" w:after="100" w:afterAutospacing="1" w:line="240" w:lineRule="auto"/>
      <w:outlineLvl w:val="0"/>
    </w:pPr>
    <w:rPr>
      <w:rFonts w:ascii="Times New Roman" w:eastAsia="Times New Roman" w:hAnsi="Times New Roman" w:cs="Times New Roman"/>
      <w:b/>
      <w:bCs/>
      <w:kern w:val="36"/>
      <w:sz w:val="48"/>
      <w:szCs w:val="48"/>
      <w:lang w:val="fi-FI" w:eastAsia="fi-FI"/>
    </w:rPr>
  </w:style>
  <w:style w:type="paragraph" w:styleId="Rubrik2">
    <w:name w:val="heading 2"/>
    <w:basedOn w:val="Normal"/>
    <w:next w:val="Normal"/>
    <w:link w:val="Rubrik2Char"/>
    <w:uiPriority w:val="9"/>
    <w:unhideWhenUsed/>
    <w:qFormat/>
    <w:rsid w:val="00156BC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Rubrik3">
    <w:name w:val="heading 3"/>
    <w:basedOn w:val="Normal"/>
    <w:next w:val="Normal"/>
    <w:link w:val="Rubrik3Char"/>
    <w:uiPriority w:val="9"/>
    <w:unhideWhenUsed/>
    <w:qFormat/>
    <w:rsid w:val="00156BC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156BCB"/>
    <w:rPr>
      <w:rFonts w:ascii="Times New Roman" w:eastAsia="Times New Roman" w:hAnsi="Times New Roman" w:cs="Times New Roman"/>
      <w:b/>
      <w:bCs/>
      <w:kern w:val="36"/>
      <w:sz w:val="48"/>
      <w:szCs w:val="48"/>
      <w:lang w:val="fi-FI" w:eastAsia="fi-FI"/>
    </w:rPr>
  </w:style>
  <w:style w:type="character" w:customStyle="1" w:styleId="Rubrik2Char">
    <w:name w:val="Rubrik 2 Char"/>
    <w:basedOn w:val="Standardstycketeckensnitt"/>
    <w:link w:val="Rubrik2"/>
    <w:uiPriority w:val="9"/>
    <w:rsid w:val="00156BCB"/>
    <w:rPr>
      <w:rFonts w:asciiTheme="majorHAnsi" w:eastAsiaTheme="majorEastAsia" w:hAnsiTheme="majorHAnsi" w:cstheme="majorBidi"/>
      <w:color w:val="2F5496" w:themeColor="accent1" w:themeShade="BF"/>
      <w:sz w:val="26"/>
      <w:szCs w:val="26"/>
      <w:lang w:val="de-DE"/>
    </w:rPr>
  </w:style>
  <w:style w:type="character" w:customStyle="1" w:styleId="Rubrik3Char">
    <w:name w:val="Rubrik 3 Char"/>
    <w:basedOn w:val="Standardstycketeckensnitt"/>
    <w:link w:val="Rubrik3"/>
    <w:uiPriority w:val="9"/>
    <w:rsid w:val="00156BCB"/>
    <w:rPr>
      <w:rFonts w:asciiTheme="majorHAnsi" w:eastAsiaTheme="majorEastAsia" w:hAnsiTheme="majorHAnsi" w:cstheme="majorBidi"/>
      <w:color w:val="1F3763" w:themeColor="accent1" w:themeShade="7F"/>
      <w:sz w:val="24"/>
      <w:szCs w:val="24"/>
      <w:lang w:val="de-DE"/>
    </w:rPr>
  </w:style>
  <w:style w:type="table" w:styleId="Tabellrutnt">
    <w:name w:val="Table Grid"/>
    <w:basedOn w:val="Normaltabell"/>
    <w:uiPriority w:val="59"/>
    <w:rsid w:val="00156BCB"/>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156BCB"/>
    <w:rPr>
      <w:sz w:val="16"/>
      <w:szCs w:val="16"/>
    </w:rPr>
  </w:style>
  <w:style w:type="paragraph" w:styleId="Kommentarer">
    <w:name w:val="annotation text"/>
    <w:basedOn w:val="Normal"/>
    <w:link w:val="KommentarerChar"/>
    <w:uiPriority w:val="99"/>
    <w:unhideWhenUsed/>
    <w:rsid w:val="00156BCB"/>
    <w:pPr>
      <w:spacing w:line="240" w:lineRule="auto"/>
    </w:pPr>
    <w:rPr>
      <w:sz w:val="20"/>
      <w:szCs w:val="20"/>
    </w:rPr>
  </w:style>
  <w:style w:type="character" w:customStyle="1" w:styleId="KommentarerChar">
    <w:name w:val="Kommentarer Char"/>
    <w:basedOn w:val="Standardstycketeckensnitt"/>
    <w:link w:val="Kommentarer"/>
    <w:uiPriority w:val="99"/>
    <w:rsid w:val="00156BCB"/>
    <w:rPr>
      <w:sz w:val="20"/>
      <w:szCs w:val="20"/>
      <w:lang w:val="de-DE"/>
    </w:rPr>
  </w:style>
  <w:style w:type="paragraph" w:styleId="Kommentarsmne">
    <w:name w:val="annotation subject"/>
    <w:basedOn w:val="Kommentarer"/>
    <w:next w:val="Kommentarer"/>
    <w:link w:val="KommentarsmneChar"/>
    <w:uiPriority w:val="99"/>
    <w:semiHidden/>
    <w:unhideWhenUsed/>
    <w:rsid w:val="00156BCB"/>
    <w:rPr>
      <w:b/>
      <w:bCs/>
    </w:rPr>
  </w:style>
  <w:style w:type="character" w:customStyle="1" w:styleId="KommentarsmneChar">
    <w:name w:val="Kommentarsämne Char"/>
    <w:basedOn w:val="KommentarerChar"/>
    <w:link w:val="Kommentarsmne"/>
    <w:uiPriority w:val="99"/>
    <w:semiHidden/>
    <w:rsid w:val="00156BCB"/>
    <w:rPr>
      <w:b/>
      <w:bCs/>
      <w:sz w:val="20"/>
      <w:szCs w:val="20"/>
      <w:lang w:val="de-DE"/>
    </w:rPr>
  </w:style>
  <w:style w:type="paragraph" w:styleId="Ballongtext">
    <w:name w:val="Balloon Text"/>
    <w:basedOn w:val="Normal"/>
    <w:link w:val="BallongtextChar"/>
    <w:uiPriority w:val="99"/>
    <w:semiHidden/>
    <w:unhideWhenUsed/>
    <w:rsid w:val="00156BC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156BCB"/>
    <w:rPr>
      <w:rFonts w:ascii="Tahoma" w:hAnsi="Tahoma" w:cs="Tahoma"/>
      <w:sz w:val="16"/>
      <w:szCs w:val="16"/>
      <w:lang w:val="de-DE"/>
    </w:rPr>
  </w:style>
  <w:style w:type="paragraph" w:styleId="Liststycke">
    <w:name w:val="List Paragraph"/>
    <w:basedOn w:val="Normal"/>
    <w:uiPriority w:val="34"/>
    <w:qFormat/>
    <w:rsid w:val="00156BCB"/>
    <w:pPr>
      <w:ind w:left="720"/>
      <w:contextualSpacing/>
    </w:pPr>
  </w:style>
  <w:style w:type="paragraph" w:customStyle="1" w:styleId="TableContents">
    <w:name w:val="Table Contents"/>
    <w:basedOn w:val="Normal"/>
    <w:uiPriority w:val="99"/>
    <w:rsid w:val="00156BCB"/>
    <w:pPr>
      <w:widowControl w:val="0"/>
      <w:suppressLineNumbers/>
      <w:suppressAutoHyphens/>
      <w:autoSpaceDN w:val="0"/>
      <w:spacing w:after="0" w:line="240" w:lineRule="auto"/>
      <w:textAlignment w:val="baseline"/>
    </w:pPr>
    <w:rPr>
      <w:rFonts w:ascii="Times New Roman" w:eastAsia="Andale Sans UI" w:hAnsi="Times New Roman" w:cs="Tahoma"/>
      <w:kern w:val="3"/>
      <w:sz w:val="24"/>
      <w:szCs w:val="24"/>
      <w:lang w:eastAsia="ja-JP" w:bidi="fa-IR"/>
    </w:rPr>
  </w:style>
  <w:style w:type="paragraph" w:styleId="Litteraturfrteckning">
    <w:name w:val="Bibliography"/>
    <w:basedOn w:val="Normal"/>
    <w:next w:val="Normal"/>
    <w:uiPriority w:val="37"/>
    <w:unhideWhenUsed/>
    <w:rsid w:val="00156BCB"/>
    <w:pPr>
      <w:tabs>
        <w:tab w:val="left" w:pos="384"/>
      </w:tabs>
      <w:spacing w:after="0" w:line="480" w:lineRule="auto"/>
      <w:ind w:left="384" w:hanging="384"/>
    </w:pPr>
  </w:style>
  <w:style w:type="paragraph" w:styleId="Fotnotstext">
    <w:name w:val="footnote text"/>
    <w:basedOn w:val="Normal"/>
    <w:link w:val="FotnotstextChar"/>
    <w:uiPriority w:val="99"/>
    <w:semiHidden/>
    <w:unhideWhenUsed/>
    <w:rsid w:val="00156BCB"/>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156BCB"/>
    <w:rPr>
      <w:sz w:val="20"/>
      <w:szCs w:val="20"/>
      <w:lang w:val="de-DE"/>
    </w:rPr>
  </w:style>
  <w:style w:type="character" w:styleId="Fotnotsreferens">
    <w:name w:val="footnote reference"/>
    <w:basedOn w:val="Standardstycketeckensnitt"/>
    <w:uiPriority w:val="99"/>
    <w:semiHidden/>
    <w:unhideWhenUsed/>
    <w:rsid w:val="00156BCB"/>
    <w:rPr>
      <w:vertAlign w:val="superscript"/>
    </w:rPr>
  </w:style>
  <w:style w:type="character" w:styleId="Hyperlnk">
    <w:name w:val="Hyperlink"/>
    <w:basedOn w:val="Standardstycketeckensnitt"/>
    <w:uiPriority w:val="99"/>
    <w:unhideWhenUsed/>
    <w:rsid w:val="00156BCB"/>
    <w:rPr>
      <w:color w:val="0563C1" w:themeColor="hyperlink"/>
      <w:u w:val="single"/>
    </w:rPr>
  </w:style>
  <w:style w:type="paragraph" w:customStyle="1" w:styleId="Bibliography1">
    <w:name w:val="Bibliography 1"/>
    <w:basedOn w:val="Normal"/>
    <w:rsid w:val="00156BCB"/>
    <w:pPr>
      <w:widowControl w:val="0"/>
      <w:suppressLineNumbers/>
      <w:suppressAutoHyphens/>
      <w:spacing w:after="240" w:line="240" w:lineRule="atLeast"/>
      <w:ind w:left="720" w:hanging="720"/>
    </w:pPr>
    <w:rPr>
      <w:rFonts w:ascii="Times New Roman" w:eastAsia="Andale Sans UI" w:hAnsi="Times New Roman" w:cs="Tahoma"/>
      <w:kern w:val="1"/>
      <w:sz w:val="24"/>
      <w:szCs w:val="24"/>
    </w:rPr>
  </w:style>
  <w:style w:type="paragraph" w:styleId="Punktlista">
    <w:name w:val="List Bullet"/>
    <w:basedOn w:val="Normal"/>
    <w:uiPriority w:val="99"/>
    <w:unhideWhenUsed/>
    <w:rsid w:val="00156BCB"/>
    <w:pPr>
      <w:numPr>
        <w:numId w:val="14"/>
      </w:numPr>
      <w:contextualSpacing/>
    </w:pPr>
  </w:style>
  <w:style w:type="paragraph" w:styleId="Revision">
    <w:name w:val="Revision"/>
    <w:hidden/>
    <w:uiPriority w:val="99"/>
    <w:semiHidden/>
    <w:rsid w:val="00156BCB"/>
    <w:pPr>
      <w:spacing w:after="0" w:line="240" w:lineRule="auto"/>
    </w:pPr>
    <w:rPr>
      <w:lang w:val="de-DE"/>
    </w:rPr>
  </w:style>
  <w:style w:type="paragraph" w:customStyle="1" w:styleId="Title1">
    <w:name w:val="Title1"/>
    <w:basedOn w:val="Normal"/>
    <w:rsid w:val="00156BCB"/>
    <w:pPr>
      <w:spacing w:before="100" w:beforeAutospacing="1" w:after="100" w:afterAutospacing="1" w:line="240" w:lineRule="auto"/>
    </w:pPr>
    <w:rPr>
      <w:rFonts w:ascii="Times New Roman" w:eastAsia="Times New Roman" w:hAnsi="Times New Roman" w:cs="Times New Roman"/>
      <w:sz w:val="24"/>
      <w:szCs w:val="24"/>
      <w:lang w:val="fi-FI" w:eastAsia="fi-FI"/>
    </w:rPr>
  </w:style>
  <w:style w:type="paragraph" w:customStyle="1" w:styleId="desc">
    <w:name w:val="desc"/>
    <w:basedOn w:val="Normal"/>
    <w:rsid w:val="00156BCB"/>
    <w:pPr>
      <w:spacing w:before="100" w:beforeAutospacing="1" w:after="100" w:afterAutospacing="1" w:line="240" w:lineRule="auto"/>
    </w:pPr>
    <w:rPr>
      <w:rFonts w:ascii="Times New Roman" w:eastAsia="Times New Roman" w:hAnsi="Times New Roman" w:cs="Times New Roman"/>
      <w:sz w:val="24"/>
      <w:szCs w:val="24"/>
      <w:lang w:val="fi-FI" w:eastAsia="fi-FI"/>
    </w:rPr>
  </w:style>
  <w:style w:type="paragraph" w:customStyle="1" w:styleId="details">
    <w:name w:val="details"/>
    <w:basedOn w:val="Normal"/>
    <w:rsid w:val="00156BCB"/>
    <w:pPr>
      <w:spacing w:before="100" w:beforeAutospacing="1" w:after="100" w:afterAutospacing="1" w:line="240" w:lineRule="auto"/>
    </w:pPr>
    <w:rPr>
      <w:rFonts w:ascii="Times New Roman" w:eastAsia="Times New Roman" w:hAnsi="Times New Roman" w:cs="Times New Roman"/>
      <w:sz w:val="24"/>
      <w:szCs w:val="24"/>
      <w:lang w:val="fi-FI" w:eastAsia="fi-FI"/>
    </w:rPr>
  </w:style>
  <w:style w:type="character" w:customStyle="1" w:styleId="jrnl">
    <w:name w:val="jrnl"/>
    <w:basedOn w:val="Standardstycketeckensnitt"/>
    <w:rsid w:val="00156BCB"/>
  </w:style>
  <w:style w:type="character" w:styleId="AnvndHyperlnk">
    <w:name w:val="FollowedHyperlink"/>
    <w:basedOn w:val="Standardstycketeckensnitt"/>
    <w:uiPriority w:val="99"/>
    <w:semiHidden/>
    <w:unhideWhenUsed/>
    <w:rsid w:val="00156BCB"/>
    <w:rPr>
      <w:color w:val="954F72" w:themeColor="followedHyperlink"/>
      <w:u w:val="single"/>
    </w:rPr>
  </w:style>
  <w:style w:type="character" w:customStyle="1" w:styleId="highlight">
    <w:name w:val="highlight"/>
    <w:basedOn w:val="Standardstycketeckensnitt"/>
    <w:rsid w:val="00156BCB"/>
  </w:style>
  <w:style w:type="character" w:styleId="Platshllartext">
    <w:name w:val="Placeholder Text"/>
    <w:basedOn w:val="Standardstycketeckensnitt"/>
    <w:uiPriority w:val="99"/>
    <w:semiHidden/>
    <w:rsid w:val="00156BCB"/>
    <w:rPr>
      <w:color w:val="808080"/>
    </w:rPr>
  </w:style>
  <w:style w:type="paragraph" w:styleId="Sidhuvud">
    <w:name w:val="header"/>
    <w:basedOn w:val="Normal"/>
    <w:link w:val="SidhuvudChar"/>
    <w:uiPriority w:val="99"/>
    <w:unhideWhenUsed/>
    <w:rsid w:val="00156BCB"/>
    <w:pPr>
      <w:tabs>
        <w:tab w:val="center" w:pos="4513"/>
        <w:tab w:val="right" w:pos="9026"/>
      </w:tabs>
      <w:spacing w:after="0" w:line="240" w:lineRule="auto"/>
    </w:pPr>
  </w:style>
  <w:style w:type="character" w:customStyle="1" w:styleId="SidhuvudChar">
    <w:name w:val="Sidhuvud Char"/>
    <w:basedOn w:val="Standardstycketeckensnitt"/>
    <w:link w:val="Sidhuvud"/>
    <w:uiPriority w:val="99"/>
    <w:rsid w:val="00156BCB"/>
    <w:rPr>
      <w:lang w:val="de-DE"/>
    </w:rPr>
  </w:style>
  <w:style w:type="paragraph" w:styleId="Sidfot">
    <w:name w:val="footer"/>
    <w:basedOn w:val="Normal"/>
    <w:link w:val="SidfotChar"/>
    <w:uiPriority w:val="99"/>
    <w:unhideWhenUsed/>
    <w:rsid w:val="00156BCB"/>
    <w:pPr>
      <w:tabs>
        <w:tab w:val="center" w:pos="4513"/>
        <w:tab w:val="right" w:pos="9026"/>
      </w:tabs>
      <w:spacing w:after="0" w:line="240" w:lineRule="auto"/>
    </w:pPr>
  </w:style>
  <w:style w:type="character" w:customStyle="1" w:styleId="SidfotChar">
    <w:name w:val="Sidfot Char"/>
    <w:basedOn w:val="Standardstycketeckensnitt"/>
    <w:link w:val="Sidfot"/>
    <w:uiPriority w:val="99"/>
    <w:rsid w:val="00156BCB"/>
    <w:rPr>
      <w:lang w:val="de-DE"/>
    </w:rPr>
  </w:style>
  <w:style w:type="paragraph" w:customStyle="1" w:styleId="Default">
    <w:name w:val="Default"/>
    <w:rsid w:val="00156BCB"/>
    <w:pPr>
      <w:autoSpaceDE w:val="0"/>
      <w:autoSpaceDN w:val="0"/>
      <w:adjustRightInd w:val="0"/>
      <w:spacing w:after="0" w:line="240" w:lineRule="auto"/>
    </w:pPr>
    <w:rPr>
      <w:rFonts w:ascii="Times New Roman" w:hAnsi="Times New Roman" w:cs="Times New Roman"/>
      <w:color w:val="000000"/>
      <w:sz w:val="24"/>
      <w:szCs w:val="24"/>
      <w:lang w:val="en-GB"/>
    </w:rPr>
  </w:style>
  <w:style w:type="character" w:customStyle="1" w:styleId="author">
    <w:name w:val="author"/>
    <w:basedOn w:val="Standardstycketeckensnitt"/>
    <w:rsid w:val="00156BCB"/>
  </w:style>
  <w:style w:type="character" w:customStyle="1" w:styleId="articletitle">
    <w:name w:val="articletitle"/>
    <w:basedOn w:val="Standardstycketeckensnitt"/>
    <w:rsid w:val="00156BCB"/>
  </w:style>
  <w:style w:type="character" w:customStyle="1" w:styleId="journaltitle">
    <w:name w:val="journaltitle"/>
    <w:basedOn w:val="Standardstycketeckensnitt"/>
    <w:rsid w:val="00156BCB"/>
  </w:style>
  <w:style w:type="character" w:customStyle="1" w:styleId="pubyear">
    <w:name w:val="pubyear"/>
    <w:basedOn w:val="Standardstycketeckensnitt"/>
    <w:rsid w:val="00156BCB"/>
  </w:style>
  <w:style w:type="character" w:customStyle="1" w:styleId="vol">
    <w:name w:val="vol"/>
    <w:basedOn w:val="Standardstycketeckensnitt"/>
    <w:rsid w:val="00156BCB"/>
  </w:style>
  <w:style w:type="character" w:customStyle="1" w:styleId="pagefirst">
    <w:name w:val="pagefirst"/>
    <w:basedOn w:val="Standardstycketeckensnitt"/>
    <w:rsid w:val="00156BCB"/>
  </w:style>
  <w:style w:type="character" w:customStyle="1" w:styleId="pagelast">
    <w:name w:val="pagelast"/>
    <w:basedOn w:val="Standardstycketeckensnitt"/>
    <w:rsid w:val="00156BCB"/>
  </w:style>
  <w:style w:type="character" w:customStyle="1" w:styleId="Olstomnmnande1">
    <w:name w:val="Olöst omnämnande1"/>
    <w:basedOn w:val="Standardstycketeckensnitt"/>
    <w:uiPriority w:val="99"/>
    <w:semiHidden/>
    <w:unhideWhenUsed/>
    <w:rsid w:val="00156BCB"/>
    <w:rPr>
      <w:color w:val="605E5C"/>
      <w:shd w:val="clear" w:color="auto" w:fill="E1DFDD"/>
    </w:rPr>
  </w:style>
  <w:style w:type="character" w:styleId="Radnummer">
    <w:name w:val="line number"/>
    <w:basedOn w:val="Standardstycketeckensnitt"/>
    <w:uiPriority w:val="99"/>
    <w:semiHidden/>
    <w:unhideWhenUsed/>
    <w:rsid w:val="00156BCB"/>
  </w:style>
  <w:style w:type="table" w:customStyle="1" w:styleId="Thesis">
    <w:name w:val="Thesis"/>
    <w:basedOn w:val="Normaltabell"/>
    <w:uiPriority w:val="99"/>
    <w:rsid w:val="00156BCB"/>
    <w:pPr>
      <w:spacing w:after="0" w:line="276" w:lineRule="auto"/>
      <w:contextualSpacing/>
      <w:jc w:val="center"/>
    </w:pPr>
    <w:rPr>
      <w:rFonts w:ascii="Times New Roman" w:hAnsi="Times New Roman"/>
      <w:lang w:val="en-AU"/>
    </w:rPr>
    <w:tblPr>
      <w:tblBorders>
        <w:insideH w:val="dotted" w:sz="4" w:space="0" w:color="000000" w:themeColor="text1"/>
      </w:tblBorders>
    </w:tblPr>
    <w:tcPr>
      <w:vAlign w:val="center"/>
    </w:tcPr>
    <w:tblStylePr w:type="firstRow">
      <w:pPr>
        <w:wordWrap/>
        <w:spacing w:beforeLines="0" w:before="0" w:beforeAutospacing="0" w:afterLines="0" w:after="0" w:afterAutospacing="0" w:line="360" w:lineRule="auto"/>
        <w:contextualSpacing/>
        <w:mirrorIndents w:val="0"/>
      </w:pPr>
      <w:rPr>
        <w:b/>
      </w:rPr>
      <w:tblPr/>
      <w:tcPr>
        <w:tcBorders>
          <w:top w:val="single" w:sz="12" w:space="0" w:color="000000" w:themeColor="text1"/>
          <w:left w:val="nil"/>
          <w:bottom w:val="single" w:sz="12" w:space="0" w:color="000000" w:themeColor="text1"/>
          <w:right w:val="nil"/>
          <w:insideH w:val="nil"/>
          <w:insideV w:val="nil"/>
        </w:tcBorders>
      </w:tcPr>
    </w:tblStylePr>
    <w:tblStylePr w:type="lastRow">
      <w:tblPr/>
      <w:tcPr>
        <w:tcBorders>
          <w:bottom w:val="single" w:sz="4" w:space="0" w:color="000000" w:themeColor="text1"/>
          <w:insideH w:val="nil"/>
        </w:tcBorders>
      </w:tcPr>
    </w:tblStylePr>
  </w:style>
  <w:style w:type="character" w:customStyle="1" w:styleId="ref-title">
    <w:name w:val="ref-title"/>
    <w:basedOn w:val="Standardstycketeckensnitt"/>
    <w:rsid w:val="00156BCB"/>
  </w:style>
  <w:style w:type="character" w:customStyle="1" w:styleId="ref-journal">
    <w:name w:val="ref-journal"/>
    <w:basedOn w:val="Standardstycketeckensnitt"/>
    <w:rsid w:val="00156BCB"/>
  </w:style>
  <w:style w:type="character" w:customStyle="1" w:styleId="ref-vol">
    <w:name w:val="ref-vol"/>
    <w:basedOn w:val="Standardstycketeckensnitt"/>
    <w:rsid w:val="00156BCB"/>
  </w:style>
  <w:style w:type="character" w:customStyle="1" w:styleId="ref-iss">
    <w:name w:val="ref-iss"/>
    <w:basedOn w:val="Standardstycketeckensnitt"/>
    <w:rsid w:val="00156BCB"/>
  </w:style>
  <w:style w:type="character" w:customStyle="1" w:styleId="u-visually-hidden">
    <w:name w:val="u-visually-hidden"/>
    <w:basedOn w:val="Standardstycketeckensnitt"/>
    <w:rsid w:val="00156BCB"/>
  </w:style>
  <w:style w:type="paragraph" w:customStyle="1" w:styleId="EndNoteBibliographyTitle">
    <w:name w:val="EndNote Bibliography Title"/>
    <w:basedOn w:val="Normal"/>
    <w:link w:val="EndNoteBibliographyTitleChar"/>
    <w:rsid w:val="00156BCB"/>
    <w:pPr>
      <w:spacing w:after="0"/>
      <w:jc w:val="center"/>
    </w:pPr>
    <w:rPr>
      <w:rFonts w:ascii="Calibri" w:hAnsi="Calibri" w:cs="Calibri"/>
      <w:noProof/>
      <w:lang w:val="en-US"/>
    </w:rPr>
  </w:style>
  <w:style w:type="character" w:customStyle="1" w:styleId="EndNoteBibliographyTitleChar">
    <w:name w:val="EndNote Bibliography Title Char"/>
    <w:basedOn w:val="Standardstycketeckensnitt"/>
    <w:link w:val="EndNoteBibliographyTitle"/>
    <w:rsid w:val="00156BCB"/>
    <w:rPr>
      <w:rFonts w:ascii="Calibri" w:hAnsi="Calibri" w:cs="Calibri"/>
      <w:noProof/>
      <w:lang w:val="en-US"/>
    </w:rPr>
  </w:style>
  <w:style w:type="paragraph" w:customStyle="1" w:styleId="EndNoteBibliography">
    <w:name w:val="EndNote Bibliography"/>
    <w:basedOn w:val="Normal"/>
    <w:link w:val="EndNoteBibliographyChar"/>
    <w:rsid w:val="00156BCB"/>
    <w:pPr>
      <w:spacing w:line="240" w:lineRule="auto"/>
      <w:jc w:val="both"/>
    </w:pPr>
    <w:rPr>
      <w:rFonts w:ascii="Calibri" w:hAnsi="Calibri" w:cs="Calibri"/>
      <w:noProof/>
      <w:lang w:val="en-US"/>
    </w:rPr>
  </w:style>
  <w:style w:type="character" w:customStyle="1" w:styleId="EndNoteBibliographyChar">
    <w:name w:val="EndNote Bibliography Char"/>
    <w:basedOn w:val="Standardstycketeckensnitt"/>
    <w:link w:val="EndNoteBibliography"/>
    <w:rsid w:val="00156BCB"/>
    <w:rPr>
      <w:rFonts w:ascii="Calibri" w:hAnsi="Calibri" w:cs="Calibri"/>
      <w:noProof/>
      <w:lang w:val="en-US"/>
    </w:rPr>
  </w:style>
  <w:style w:type="character" w:styleId="Stark">
    <w:name w:val="Strong"/>
    <w:basedOn w:val="Standardstycketeckensnitt"/>
    <w:uiPriority w:val="22"/>
    <w:qFormat/>
    <w:rsid w:val="00156BCB"/>
    <w:rPr>
      <w:b/>
      <w:bCs/>
    </w:rPr>
  </w:style>
  <w:style w:type="paragraph" w:styleId="Normalwebb">
    <w:name w:val="Normal (Web)"/>
    <w:basedOn w:val="Normal"/>
    <w:uiPriority w:val="99"/>
    <w:semiHidden/>
    <w:unhideWhenUsed/>
    <w:rsid w:val="00156BC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MDPI11articletype">
    <w:name w:val="MDPI_1.1_article_type"/>
    <w:next w:val="Normal"/>
    <w:qFormat/>
    <w:rsid w:val="00095192"/>
    <w:pPr>
      <w:adjustRightInd w:val="0"/>
      <w:snapToGrid w:val="0"/>
      <w:spacing w:before="240" w:after="0" w:line="240" w:lineRule="auto"/>
    </w:pPr>
    <w:rPr>
      <w:rFonts w:ascii="Palatino Linotype" w:eastAsia="Times New Roman" w:hAnsi="Palatino Linotype" w:cs="Times New Roman"/>
      <w:i/>
      <w:snapToGrid w:val="0"/>
      <w:color w:val="000000"/>
      <w:sz w:val="20"/>
      <w:lang w:val="en-US" w:eastAsia="de-DE" w:bidi="en-US"/>
    </w:rPr>
  </w:style>
  <w:style w:type="paragraph" w:customStyle="1" w:styleId="MDPI12title">
    <w:name w:val="MDPI_1.2_title"/>
    <w:next w:val="Normal"/>
    <w:qFormat/>
    <w:rsid w:val="00095192"/>
    <w:pPr>
      <w:adjustRightInd w:val="0"/>
      <w:snapToGrid w:val="0"/>
      <w:spacing w:after="240" w:line="240" w:lineRule="atLeast"/>
    </w:pPr>
    <w:rPr>
      <w:rFonts w:ascii="Palatino Linotype" w:eastAsia="Times New Roman" w:hAnsi="Palatino Linotype" w:cs="Times New Roman"/>
      <w:b/>
      <w:snapToGrid w:val="0"/>
      <w:color w:val="000000"/>
      <w:sz w:val="36"/>
      <w:szCs w:val="20"/>
      <w:lang w:val="en-US" w:eastAsia="de-DE" w:bidi="en-US"/>
    </w:rPr>
  </w:style>
  <w:style w:type="paragraph" w:customStyle="1" w:styleId="MDPI13authornames">
    <w:name w:val="MDPI_1.3_authornames"/>
    <w:next w:val="Normal"/>
    <w:qFormat/>
    <w:rsid w:val="00095192"/>
    <w:pPr>
      <w:adjustRightInd w:val="0"/>
      <w:snapToGrid w:val="0"/>
      <w:spacing w:after="120" w:line="260" w:lineRule="atLeast"/>
    </w:pPr>
    <w:rPr>
      <w:rFonts w:ascii="Palatino Linotype" w:eastAsia="Times New Roman" w:hAnsi="Palatino Linotype" w:cs="Times New Roman"/>
      <w:b/>
      <w:color w:val="000000"/>
      <w:sz w:val="20"/>
      <w:lang w:val="en-US" w:eastAsia="de-DE" w:bidi="en-US"/>
    </w:rPr>
  </w:style>
  <w:style w:type="paragraph" w:customStyle="1" w:styleId="MDPI14history">
    <w:name w:val="MDPI_1.4_history"/>
    <w:basedOn w:val="Normal"/>
    <w:next w:val="Normal"/>
    <w:qFormat/>
    <w:rsid w:val="00095192"/>
    <w:pPr>
      <w:adjustRightInd w:val="0"/>
      <w:snapToGrid w:val="0"/>
      <w:spacing w:before="120" w:after="0" w:line="200" w:lineRule="atLeast"/>
      <w:ind w:left="113"/>
    </w:pPr>
    <w:rPr>
      <w:rFonts w:ascii="Palatino Linotype" w:eastAsia="Times New Roman" w:hAnsi="Palatino Linotype" w:cs="Times New Roman"/>
      <w:color w:val="000000"/>
      <w:sz w:val="18"/>
      <w:szCs w:val="20"/>
      <w:lang w:val="en-US" w:eastAsia="de-DE" w:bidi="en-US"/>
    </w:rPr>
  </w:style>
  <w:style w:type="paragraph" w:customStyle="1" w:styleId="MDPI15academiceditor">
    <w:name w:val="MDPI_1.5_academic_editor"/>
    <w:qFormat/>
    <w:rsid w:val="00095192"/>
    <w:pPr>
      <w:adjustRightInd w:val="0"/>
      <w:snapToGrid w:val="0"/>
      <w:spacing w:after="0" w:line="260" w:lineRule="atLeast"/>
      <w:ind w:left="113"/>
    </w:pPr>
    <w:rPr>
      <w:rFonts w:ascii="Palatino Linotype" w:eastAsia="Times New Roman" w:hAnsi="Palatino Linotype" w:cs="Times New Roman"/>
      <w:color w:val="000000"/>
      <w:sz w:val="18"/>
      <w:lang w:val="en-US" w:eastAsia="de-DE" w:bidi="en-US"/>
    </w:rPr>
  </w:style>
  <w:style w:type="paragraph" w:customStyle="1" w:styleId="MDPI16affiliation">
    <w:name w:val="MDPI_1.6_affiliation"/>
    <w:qFormat/>
    <w:rsid w:val="00095192"/>
    <w:pPr>
      <w:adjustRightInd w:val="0"/>
      <w:snapToGrid w:val="0"/>
      <w:spacing w:after="0" w:line="260" w:lineRule="atLeast"/>
      <w:ind w:left="311" w:hanging="198"/>
    </w:pPr>
    <w:rPr>
      <w:rFonts w:ascii="Palatino Linotype" w:eastAsia="Times New Roman" w:hAnsi="Palatino Linotype" w:cs="Times New Roman"/>
      <w:color w:val="000000"/>
      <w:sz w:val="18"/>
      <w:szCs w:val="18"/>
      <w:lang w:val="en-US" w:eastAsia="de-DE" w:bidi="en-US"/>
    </w:rPr>
  </w:style>
  <w:style w:type="paragraph" w:customStyle="1" w:styleId="MDPI17abstract">
    <w:name w:val="MDPI_1.7_abstract"/>
    <w:next w:val="Normal"/>
    <w:qFormat/>
    <w:rsid w:val="00095192"/>
    <w:pPr>
      <w:adjustRightInd w:val="0"/>
      <w:snapToGrid w:val="0"/>
      <w:spacing w:before="240" w:after="0" w:line="260" w:lineRule="atLeast"/>
      <w:ind w:left="113"/>
      <w:jc w:val="both"/>
    </w:pPr>
    <w:rPr>
      <w:rFonts w:ascii="Palatino Linotype" w:eastAsia="Times New Roman" w:hAnsi="Palatino Linotype" w:cs="Times New Roman"/>
      <w:color w:val="000000"/>
      <w:sz w:val="20"/>
      <w:lang w:val="en-US" w:eastAsia="de-DE" w:bidi="en-US"/>
    </w:rPr>
  </w:style>
  <w:style w:type="paragraph" w:customStyle="1" w:styleId="MDPI18keywords">
    <w:name w:val="MDPI_1.8_keywords"/>
    <w:next w:val="Normal"/>
    <w:qFormat/>
    <w:rsid w:val="00095192"/>
    <w:pPr>
      <w:adjustRightInd w:val="0"/>
      <w:snapToGrid w:val="0"/>
      <w:spacing w:before="240" w:after="0" w:line="260" w:lineRule="atLeast"/>
      <w:ind w:left="113"/>
      <w:jc w:val="both"/>
    </w:pPr>
    <w:rPr>
      <w:rFonts w:ascii="Palatino Linotype" w:eastAsia="Times New Roman" w:hAnsi="Palatino Linotype" w:cs="Times New Roman"/>
      <w:snapToGrid w:val="0"/>
      <w:color w:val="000000"/>
      <w:sz w:val="20"/>
      <w:lang w:val="en-US" w:eastAsia="de-DE" w:bidi="en-US"/>
    </w:rPr>
  </w:style>
  <w:style w:type="paragraph" w:customStyle="1" w:styleId="MDPI19classification">
    <w:name w:val="MDPI_1.9_classification"/>
    <w:qFormat/>
    <w:rsid w:val="00095192"/>
    <w:pPr>
      <w:spacing w:before="240" w:after="0" w:line="260" w:lineRule="atLeast"/>
      <w:ind w:left="113"/>
      <w:jc w:val="both"/>
    </w:pPr>
    <w:rPr>
      <w:rFonts w:ascii="Palatino Linotype" w:eastAsia="Times New Roman" w:hAnsi="Palatino Linotype" w:cs="Times New Roman"/>
      <w:b/>
      <w:color w:val="000000"/>
      <w:sz w:val="20"/>
      <w:lang w:val="en-US" w:eastAsia="de-DE" w:bidi="en-US"/>
    </w:rPr>
  </w:style>
  <w:style w:type="paragraph" w:customStyle="1" w:styleId="MDPI19line">
    <w:name w:val="MDPI_1.9_line"/>
    <w:qFormat/>
    <w:rsid w:val="00095192"/>
    <w:pPr>
      <w:pBdr>
        <w:bottom w:val="single" w:sz="6" w:space="1" w:color="auto"/>
      </w:pBdr>
      <w:spacing w:after="0" w:line="260" w:lineRule="atLeast"/>
      <w:jc w:val="both"/>
    </w:pPr>
    <w:rPr>
      <w:rFonts w:ascii="Palatino Linotype" w:eastAsia="Times New Roman" w:hAnsi="Palatino Linotype"/>
      <w:color w:val="000000"/>
      <w:sz w:val="20"/>
      <w:szCs w:val="24"/>
      <w:lang w:val="en-US" w:eastAsia="de-DE" w:bidi="en-US"/>
    </w:rPr>
  </w:style>
  <w:style w:type="paragraph" w:customStyle="1" w:styleId="MDPI21heading1">
    <w:name w:val="MDPI_2.1_heading1"/>
    <w:qFormat/>
    <w:rsid w:val="00095192"/>
    <w:pPr>
      <w:adjustRightInd w:val="0"/>
      <w:snapToGrid w:val="0"/>
      <w:spacing w:before="240" w:after="120" w:line="260" w:lineRule="atLeast"/>
      <w:jc w:val="both"/>
      <w:outlineLvl w:val="0"/>
    </w:pPr>
    <w:rPr>
      <w:rFonts w:ascii="Palatino Linotype" w:eastAsia="Times New Roman" w:hAnsi="Palatino Linotype" w:cs="Times New Roman"/>
      <w:b/>
      <w:snapToGrid w:val="0"/>
      <w:color w:val="000000"/>
      <w:sz w:val="20"/>
      <w:lang w:val="en-US" w:eastAsia="de-DE" w:bidi="en-US"/>
    </w:rPr>
  </w:style>
  <w:style w:type="paragraph" w:customStyle="1" w:styleId="MDPI22heading2">
    <w:name w:val="MDPI_2.2_heading2"/>
    <w:qFormat/>
    <w:rsid w:val="00095192"/>
    <w:pPr>
      <w:adjustRightInd w:val="0"/>
      <w:snapToGrid w:val="0"/>
      <w:spacing w:before="240" w:after="120" w:line="260" w:lineRule="atLeast"/>
      <w:outlineLvl w:val="1"/>
    </w:pPr>
    <w:rPr>
      <w:rFonts w:ascii="Palatino Linotype" w:eastAsia="Times New Roman" w:hAnsi="Palatino Linotype" w:cs="Times New Roman"/>
      <w:i/>
      <w:noProof/>
      <w:snapToGrid w:val="0"/>
      <w:color w:val="000000"/>
      <w:sz w:val="20"/>
      <w:lang w:val="en-US" w:eastAsia="de-DE" w:bidi="en-US"/>
    </w:rPr>
  </w:style>
  <w:style w:type="paragraph" w:customStyle="1" w:styleId="MDPI23heading3">
    <w:name w:val="MDPI_2.3_heading3"/>
    <w:qFormat/>
    <w:rsid w:val="00095192"/>
    <w:pPr>
      <w:adjustRightInd w:val="0"/>
      <w:snapToGrid w:val="0"/>
      <w:spacing w:before="240" w:after="120" w:line="260" w:lineRule="atLeast"/>
      <w:outlineLvl w:val="2"/>
    </w:pPr>
    <w:rPr>
      <w:rFonts w:ascii="Palatino Linotype" w:eastAsia="Times New Roman" w:hAnsi="Palatino Linotype" w:cs="Times New Roman"/>
      <w:snapToGrid w:val="0"/>
      <w:color w:val="000000"/>
      <w:sz w:val="20"/>
      <w:lang w:val="en-US" w:eastAsia="de-DE" w:bidi="en-US"/>
    </w:rPr>
  </w:style>
  <w:style w:type="paragraph" w:customStyle="1" w:styleId="MDPI31text">
    <w:name w:val="MDPI_3.1_text"/>
    <w:qFormat/>
    <w:rsid w:val="00095192"/>
    <w:pPr>
      <w:adjustRightInd w:val="0"/>
      <w:snapToGrid w:val="0"/>
      <w:spacing w:after="0" w:line="260" w:lineRule="atLeast"/>
      <w:ind w:firstLine="425"/>
      <w:jc w:val="both"/>
    </w:pPr>
    <w:rPr>
      <w:rFonts w:ascii="Palatino Linotype" w:eastAsia="Times New Roman" w:hAnsi="Palatino Linotype" w:cs="Times New Roman"/>
      <w:snapToGrid w:val="0"/>
      <w:color w:val="000000"/>
      <w:sz w:val="20"/>
      <w:lang w:val="en-US" w:eastAsia="de-DE" w:bidi="en-US"/>
    </w:rPr>
  </w:style>
  <w:style w:type="paragraph" w:customStyle="1" w:styleId="MDPI32textnoindent">
    <w:name w:val="MDPI_3.2_text_no_indent"/>
    <w:qFormat/>
    <w:rsid w:val="00095192"/>
    <w:pPr>
      <w:adjustRightInd w:val="0"/>
      <w:snapToGrid w:val="0"/>
      <w:spacing w:after="0" w:line="260" w:lineRule="atLeast"/>
      <w:jc w:val="both"/>
    </w:pPr>
    <w:rPr>
      <w:rFonts w:ascii="Palatino Linotype" w:eastAsia="Times New Roman" w:hAnsi="Palatino Linotype" w:cs="Times New Roman"/>
      <w:snapToGrid w:val="0"/>
      <w:color w:val="000000"/>
      <w:sz w:val="20"/>
      <w:lang w:val="en-US" w:eastAsia="de-DE" w:bidi="en-US"/>
    </w:rPr>
  </w:style>
  <w:style w:type="paragraph" w:customStyle="1" w:styleId="MDPI33textspaceafter">
    <w:name w:val="MDPI_3.3_text_space_after"/>
    <w:qFormat/>
    <w:rsid w:val="00095192"/>
    <w:pPr>
      <w:spacing w:after="240" w:line="260" w:lineRule="atLeast"/>
      <w:jc w:val="both"/>
    </w:pPr>
    <w:rPr>
      <w:rFonts w:ascii="Palatino Linotype" w:eastAsia="Times New Roman" w:hAnsi="Palatino Linotype" w:cs="Times New Roman"/>
      <w:snapToGrid w:val="0"/>
      <w:color w:val="000000"/>
      <w:sz w:val="20"/>
      <w:lang w:val="en-US" w:eastAsia="de-DE" w:bidi="en-US"/>
    </w:rPr>
  </w:style>
  <w:style w:type="paragraph" w:customStyle="1" w:styleId="MDPI34textspacebefore">
    <w:name w:val="MDPI_3.4_text_space_before"/>
    <w:qFormat/>
    <w:rsid w:val="00095192"/>
    <w:pPr>
      <w:spacing w:before="240" w:after="0" w:line="260" w:lineRule="atLeast"/>
      <w:jc w:val="both"/>
    </w:pPr>
    <w:rPr>
      <w:rFonts w:ascii="Palatino Linotype" w:eastAsia="Times New Roman" w:hAnsi="Palatino Linotype" w:cs="Times New Roman"/>
      <w:snapToGrid w:val="0"/>
      <w:color w:val="000000"/>
      <w:sz w:val="20"/>
      <w:lang w:val="en-US" w:eastAsia="de-DE" w:bidi="en-US"/>
    </w:rPr>
  </w:style>
  <w:style w:type="paragraph" w:customStyle="1" w:styleId="MDPI35textbeforelist">
    <w:name w:val="MDPI_3.5_text_before_list"/>
    <w:qFormat/>
    <w:rsid w:val="00095192"/>
    <w:pPr>
      <w:spacing w:after="120" w:line="260" w:lineRule="atLeast"/>
      <w:jc w:val="both"/>
    </w:pPr>
    <w:rPr>
      <w:rFonts w:ascii="Palatino Linotype" w:eastAsia="Times New Roman" w:hAnsi="Palatino Linotype" w:cs="Times New Roman"/>
      <w:snapToGrid w:val="0"/>
      <w:color w:val="000000"/>
      <w:sz w:val="20"/>
      <w:lang w:val="en-US" w:eastAsia="de-DE" w:bidi="en-US"/>
    </w:rPr>
  </w:style>
  <w:style w:type="paragraph" w:customStyle="1" w:styleId="MDPI36textafterlist">
    <w:name w:val="MDPI_3.6_text_after_list"/>
    <w:qFormat/>
    <w:rsid w:val="00095192"/>
    <w:pPr>
      <w:spacing w:before="120" w:after="0" w:line="260" w:lineRule="atLeast"/>
      <w:jc w:val="both"/>
    </w:pPr>
    <w:rPr>
      <w:rFonts w:ascii="Palatino Linotype" w:eastAsia="Times New Roman" w:hAnsi="Palatino Linotype" w:cs="Times New Roman"/>
      <w:snapToGrid w:val="0"/>
      <w:color w:val="000000"/>
      <w:sz w:val="20"/>
      <w:lang w:val="en-US" w:eastAsia="de-DE" w:bidi="en-US"/>
    </w:rPr>
  </w:style>
  <w:style w:type="paragraph" w:customStyle="1" w:styleId="MDPI37itemize">
    <w:name w:val="MDPI_3.7_itemize"/>
    <w:qFormat/>
    <w:rsid w:val="00095192"/>
    <w:pPr>
      <w:numPr>
        <w:numId w:val="47"/>
      </w:numPr>
      <w:spacing w:after="0" w:line="260" w:lineRule="atLeast"/>
      <w:jc w:val="both"/>
    </w:pPr>
    <w:rPr>
      <w:rFonts w:ascii="Palatino Linotype" w:eastAsia="Times New Roman" w:hAnsi="Palatino Linotype" w:cs="Times New Roman"/>
      <w:snapToGrid w:val="0"/>
      <w:color w:val="000000"/>
      <w:sz w:val="20"/>
      <w:lang w:val="en-US" w:eastAsia="de-DE" w:bidi="en-US"/>
    </w:rPr>
  </w:style>
  <w:style w:type="paragraph" w:customStyle="1" w:styleId="MDPI38bullet">
    <w:name w:val="MDPI_3.8_bullet"/>
    <w:qFormat/>
    <w:rsid w:val="00095192"/>
    <w:pPr>
      <w:numPr>
        <w:numId w:val="48"/>
      </w:numPr>
      <w:adjustRightInd w:val="0"/>
      <w:snapToGrid w:val="0"/>
      <w:spacing w:after="0" w:line="260" w:lineRule="atLeast"/>
      <w:jc w:val="both"/>
    </w:pPr>
    <w:rPr>
      <w:rFonts w:ascii="Palatino Linotype" w:eastAsia="Times New Roman" w:hAnsi="Palatino Linotype" w:cs="Times New Roman"/>
      <w:snapToGrid w:val="0"/>
      <w:color w:val="000000"/>
      <w:sz w:val="20"/>
      <w:lang w:val="en-US" w:eastAsia="de-DE" w:bidi="en-US"/>
    </w:rPr>
  </w:style>
  <w:style w:type="paragraph" w:customStyle="1" w:styleId="MDPI39equation">
    <w:name w:val="MDPI_3.9_equation"/>
    <w:qFormat/>
    <w:rsid w:val="00095192"/>
    <w:pPr>
      <w:adjustRightInd w:val="0"/>
      <w:snapToGrid w:val="0"/>
      <w:spacing w:before="120" w:after="120" w:line="260" w:lineRule="atLeast"/>
      <w:ind w:left="709"/>
      <w:jc w:val="center"/>
    </w:pPr>
    <w:rPr>
      <w:rFonts w:ascii="Palatino Linotype" w:eastAsia="Times New Roman" w:hAnsi="Palatino Linotype" w:cs="Times New Roman"/>
      <w:snapToGrid w:val="0"/>
      <w:color w:val="000000"/>
      <w:sz w:val="20"/>
      <w:lang w:val="en-US" w:eastAsia="de-DE" w:bidi="en-US"/>
    </w:rPr>
  </w:style>
  <w:style w:type="paragraph" w:customStyle="1" w:styleId="MDPI3aequationnumber">
    <w:name w:val="MDPI_3.a_equation_number"/>
    <w:qFormat/>
    <w:rsid w:val="00095192"/>
    <w:pPr>
      <w:spacing w:before="120" w:after="120" w:line="240" w:lineRule="auto"/>
      <w:jc w:val="right"/>
    </w:pPr>
    <w:rPr>
      <w:rFonts w:ascii="Palatino Linotype" w:eastAsia="Times New Roman" w:hAnsi="Palatino Linotype" w:cs="Times New Roman"/>
      <w:snapToGrid w:val="0"/>
      <w:color w:val="000000"/>
      <w:sz w:val="20"/>
      <w:lang w:val="en-US" w:eastAsia="de-DE" w:bidi="en-US"/>
    </w:rPr>
  </w:style>
  <w:style w:type="paragraph" w:customStyle="1" w:styleId="MDPI411onetablecaption">
    <w:name w:val="MDPI_4.1.1_one_table_caption"/>
    <w:qFormat/>
    <w:rsid w:val="00095192"/>
    <w:pPr>
      <w:adjustRightInd w:val="0"/>
      <w:snapToGrid w:val="0"/>
      <w:spacing w:before="240" w:after="120" w:line="260" w:lineRule="atLeast"/>
      <w:jc w:val="center"/>
    </w:pPr>
    <w:rPr>
      <w:rFonts w:ascii="Palatino Linotype" w:eastAsiaTheme="minorEastAsia" w:hAnsi="Palatino Linotype"/>
      <w:noProof/>
      <w:color w:val="000000"/>
      <w:sz w:val="18"/>
      <w:lang w:val="en-US" w:eastAsia="zh-CN" w:bidi="en-US"/>
    </w:rPr>
  </w:style>
  <w:style w:type="paragraph" w:customStyle="1" w:styleId="MDPI41tablecaption">
    <w:name w:val="MDPI_4.1_table_caption"/>
    <w:qFormat/>
    <w:rsid w:val="00095192"/>
    <w:pPr>
      <w:adjustRightInd w:val="0"/>
      <w:snapToGrid w:val="0"/>
      <w:spacing w:before="240" w:after="120" w:line="260" w:lineRule="atLeast"/>
      <w:ind w:left="425" w:right="425"/>
      <w:jc w:val="both"/>
    </w:pPr>
    <w:rPr>
      <w:rFonts w:ascii="Palatino Linotype" w:eastAsia="Times New Roman" w:hAnsi="Palatino Linotype"/>
      <w:color w:val="000000"/>
      <w:sz w:val="18"/>
      <w:lang w:val="en-US" w:eastAsia="de-DE" w:bidi="en-US"/>
    </w:rPr>
  </w:style>
  <w:style w:type="table" w:customStyle="1" w:styleId="MDPI41threelinetable">
    <w:name w:val="MDPI_4.1_three_line_table"/>
    <w:basedOn w:val="Normaltabell"/>
    <w:uiPriority w:val="99"/>
    <w:rsid w:val="00095192"/>
    <w:pPr>
      <w:adjustRightInd w:val="0"/>
      <w:snapToGrid w:val="0"/>
      <w:spacing w:after="0" w:line="240" w:lineRule="auto"/>
      <w:jc w:val="center"/>
    </w:pPr>
    <w:rPr>
      <w:rFonts w:ascii="Palatino Linotype" w:eastAsiaTheme="minorEastAsia" w:hAnsi="Palatino Linotype" w:cs="Times New Roman"/>
      <w:color w:val="000000"/>
      <w:sz w:val="20"/>
      <w:szCs w:val="20"/>
      <w:lang w:val="en-US" w:eastAsia="zh-CN"/>
    </w:rPr>
    <w:tblPr>
      <w:jc w:val="center"/>
      <w:tblBorders>
        <w:top w:val="single" w:sz="8" w:space="0" w:color="auto"/>
        <w:bottom w:val="single" w:sz="8" w:space="0" w:color="auto"/>
      </w:tblBorders>
    </w:tblPr>
    <w:trPr>
      <w:jc w:val="center"/>
    </w:trPr>
    <w:tcPr>
      <w:vAlign w:val="center"/>
    </w:tcPr>
    <w:tblStylePr w:type="firstRow">
      <w:rPr>
        <w:rFonts w:ascii="Palatino Linotype" w:hAnsi="Palatino Linotype"/>
        <w:b/>
        <w:i w:val="0"/>
        <w:sz w:val="20"/>
      </w:rPr>
      <w:tblPr/>
      <w:tcPr>
        <w:tcBorders>
          <w:bottom w:val="single" w:sz="4" w:space="0" w:color="auto"/>
        </w:tcBorders>
      </w:tcPr>
    </w:tblStylePr>
  </w:style>
  <w:style w:type="paragraph" w:customStyle="1" w:styleId="MDPI43tablefooter">
    <w:name w:val="MDPI_4.3_table_footer"/>
    <w:next w:val="MDPI31text"/>
    <w:qFormat/>
    <w:rsid w:val="00095192"/>
    <w:pPr>
      <w:adjustRightInd w:val="0"/>
      <w:snapToGrid w:val="0"/>
      <w:spacing w:after="240" w:line="260" w:lineRule="atLeast"/>
      <w:jc w:val="both"/>
    </w:pPr>
    <w:rPr>
      <w:rFonts w:ascii="Palatino Linotype" w:eastAsia="Times New Roman" w:hAnsi="Palatino Linotype"/>
      <w:color w:val="000000"/>
      <w:sz w:val="18"/>
      <w:lang w:val="en-US" w:eastAsia="de-DE" w:bidi="en-US"/>
    </w:rPr>
  </w:style>
  <w:style w:type="paragraph" w:customStyle="1" w:styleId="MDPI511onefigurecaption">
    <w:name w:val="MDPI_5.1.1_one_figure_caption"/>
    <w:qFormat/>
    <w:rsid w:val="00095192"/>
    <w:pPr>
      <w:adjustRightInd w:val="0"/>
      <w:snapToGrid w:val="0"/>
      <w:spacing w:before="240" w:after="120" w:line="260" w:lineRule="atLeast"/>
      <w:jc w:val="center"/>
    </w:pPr>
    <w:rPr>
      <w:rFonts w:ascii="Palatino Linotype" w:eastAsiaTheme="minorEastAsia" w:hAnsi="Palatino Linotype" w:cs="Times New Roman"/>
      <w:noProof/>
      <w:color w:val="000000"/>
      <w:sz w:val="18"/>
      <w:szCs w:val="20"/>
      <w:lang w:val="en-US" w:eastAsia="zh-CN" w:bidi="en-US"/>
    </w:rPr>
  </w:style>
  <w:style w:type="paragraph" w:customStyle="1" w:styleId="MDPI51figurecaption">
    <w:name w:val="MDPI_5.1_figure_caption"/>
    <w:qFormat/>
    <w:rsid w:val="00095192"/>
    <w:pPr>
      <w:adjustRightInd w:val="0"/>
      <w:snapToGrid w:val="0"/>
      <w:spacing w:before="120" w:after="240" w:line="260" w:lineRule="atLeast"/>
      <w:ind w:left="425" w:right="425"/>
      <w:jc w:val="both"/>
    </w:pPr>
    <w:rPr>
      <w:rFonts w:ascii="Palatino Linotype" w:eastAsia="Times New Roman" w:hAnsi="Palatino Linotype" w:cs="Times New Roman"/>
      <w:color w:val="000000"/>
      <w:sz w:val="18"/>
      <w:szCs w:val="20"/>
      <w:lang w:val="en-US" w:eastAsia="de-DE" w:bidi="en-US"/>
    </w:rPr>
  </w:style>
  <w:style w:type="paragraph" w:customStyle="1" w:styleId="MDPI52figure">
    <w:name w:val="MDPI_5.2_figure"/>
    <w:qFormat/>
    <w:rsid w:val="00095192"/>
    <w:pPr>
      <w:adjustRightInd w:val="0"/>
      <w:snapToGrid w:val="0"/>
      <w:spacing w:before="240" w:after="120" w:line="260" w:lineRule="atLeast"/>
      <w:jc w:val="center"/>
    </w:pPr>
    <w:rPr>
      <w:rFonts w:ascii="Palatino Linotype" w:eastAsia="Times New Roman" w:hAnsi="Palatino Linotype" w:cs="Times New Roman"/>
      <w:snapToGrid w:val="0"/>
      <w:color w:val="000000"/>
      <w:sz w:val="20"/>
      <w:szCs w:val="20"/>
      <w:lang w:val="en-US" w:eastAsia="de-DE" w:bidi="en-US"/>
    </w:rPr>
  </w:style>
  <w:style w:type="paragraph" w:customStyle="1" w:styleId="MDPI61Supplementary">
    <w:name w:val="MDPI_6.1_Supplementary"/>
    <w:qFormat/>
    <w:rsid w:val="00095192"/>
    <w:pPr>
      <w:spacing w:before="240" w:after="0" w:line="260" w:lineRule="atLeast"/>
      <w:jc w:val="both"/>
    </w:pPr>
    <w:rPr>
      <w:rFonts w:ascii="Palatino Linotype" w:eastAsia="Times New Roman" w:hAnsi="Palatino Linotype" w:cs="Times New Roman"/>
      <w:snapToGrid w:val="0"/>
      <w:color w:val="000000"/>
      <w:sz w:val="18"/>
      <w:szCs w:val="20"/>
      <w:lang w:val="en-US" w:bidi="en-US"/>
    </w:rPr>
  </w:style>
  <w:style w:type="paragraph" w:customStyle="1" w:styleId="MDPI62Acknowledgments">
    <w:name w:val="MDPI_6.2_Acknowledgments"/>
    <w:qFormat/>
    <w:rsid w:val="00095192"/>
    <w:pPr>
      <w:adjustRightInd w:val="0"/>
      <w:snapToGrid w:val="0"/>
      <w:spacing w:before="120" w:after="0" w:line="200" w:lineRule="atLeast"/>
      <w:jc w:val="both"/>
    </w:pPr>
    <w:rPr>
      <w:rFonts w:ascii="Palatino Linotype" w:eastAsia="Times New Roman" w:hAnsi="Palatino Linotype" w:cs="Times New Roman"/>
      <w:snapToGrid w:val="0"/>
      <w:color w:val="000000"/>
      <w:sz w:val="18"/>
      <w:szCs w:val="20"/>
      <w:lang w:val="en-US" w:eastAsia="de-DE" w:bidi="en-US"/>
    </w:rPr>
  </w:style>
  <w:style w:type="paragraph" w:customStyle="1" w:styleId="MDPI63AuthorContributions">
    <w:name w:val="MDPI_6.3_AuthorContributions"/>
    <w:qFormat/>
    <w:rsid w:val="00095192"/>
    <w:pPr>
      <w:spacing w:after="0" w:line="260" w:lineRule="atLeast"/>
      <w:jc w:val="both"/>
    </w:pPr>
    <w:rPr>
      <w:rFonts w:ascii="Palatino Linotype" w:hAnsi="Palatino Linotype" w:cs="Times New Roman"/>
      <w:snapToGrid w:val="0"/>
      <w:sz w:val="18"/>
      <w:szCs w:val="20"/>
      <w:lang w:val="en-US" w:bidi="en-US"/>
    </w:rPr>
  </w:style>
  <w:style w:type="paragraph" w:customStyle="1" w:styleId="MDPI64CoI">
    <w:name w:val="MDPI_6.4_CoI"/>
    <w:qFormat/>
    <w:rsid w:val="00095192"/>
    <w:pPr>
      <w:adjustRightInd w:val="0"/>
      <w:snapToGrid w:val="0"/>
      <w:spacing w:before="120" w:after="120" w:line="260" w:lineRule="atLeast"/>
      <w:jc w:val="both"/>
    </w:pPr>
    <w:rPr>
      <w:rFonts w:ascii="Palatino Linotype" w:eastAsia="Times New Roman" w:hAnsi="Palatino Linotype" w:cs="Times New Roman"/>
      <w:snapToGrid w:val="0"/>
      <w:color w:val="000000"/>
      <w:sz w:val="18"/>
      <w:szCs w:val="20"/>
      <w:lang w:val="en-US" w:eastAsia="de-DE" w:bidi="en-US"/>
    </w:rPr>
  </w:style>
  <w:style w:type="paragraph" w:customStyle="1" w:styleId="MDPI71References">
    <w:name w:val="MDPI_7.1_References"/>
    <w:qFormat/>
    <w:rsid w:val="00095192"/>
    <w:pPr>
      <w:numPr>
        <w:numId w:val="49"/>
      </w:numPr>
      <w:spacing w:after="0" w:line="260" w:lineRule="atLeast"/>
      <w:jc w:val="both"/>
    </w:pPr>
    <w:rPr>
      <w:rFonts w:ascii="Palatino Linotype" w:eastAsia="Times New Roman" w:hAnsi="Palatino Linotype" w:cs="Times New Roman"/>
      <w:snapToGrid w:val="0"/>
      <w:color w:val="000000"/>
      <w:sz w:val="18"/>
      <w:szCs w:val="20"/>
      <w:lang w:val="en-US" w:eastAsia="de-DE" w:bidi="en-US"/>
    </w:rPr>
  </w:style>
  <w:style w:type="paragraph" w:customStyle="1" w:styleId="MDPI72Copyright">
    <w:name w:val="MDPI_7.2_Copyright"/>
    <w:qFormat/>
    <w:rsid w:val="00095192"/>
    <w:pPr>
      <w:adjustRightInd w:val="0"/>
      <w:snapToGrid w:val="0"/>
      <w:spacing w:before="400" w:after="0" w:line="260" w:lineRule="atLeast"/>
      <w:jc w:val="both"/>
    </w:pPr>
    <w:rPr>
      <w:rFonts w:ascii="Palatino Linotype" w:eastAsia="Times New Roman" w:hAnsi="Palatino Linotype" w:cs="Times New Roman"/>
      <w:noProof/>
      <w:snapToGrid w:val="0"/>
      <w:color w:val="000000"/>
      <w:spacing w:val="-2"/>
      <w:sz w:val="18"/>
      <w:szCs w:val="20"/>
      <w:lang w:val="en-GB" w:eastAsia="en-GB"/>
    </w:rPr>
  </w:style>
  <w:style w:type="paragraph" w:customStyle="1" w:styleId="MDPI73CopyrightImage">
    <w:name w:val="MDPI_7.3_CopyrightImage"/>
    <w:rsid w:val="00095192"/>
    <w:pPr>
      <w:adjustRightInd w:val="0"/>
      <w:snapToGrid w:val="0"/>
      <w:spacing w:after="100" w:line="260" w:lineRule="atLeast"/>
      <w:jc w:val="right"/>
    </w:pPr>
    <w:rPr>
      <w:rFonts w:ascii="Palatino Linotype" w:eastAsia="Times New Roman" w:hAnsi="Palatino Linotype" w:cs="Times New Roman"/>
      <w:color w:val="000000"/>
      <w:sz w:val="20"/>
      <w:szCs w:val="20"/>
      <w:lang w:val="en-US" w:eastAsia="de-CH"/>
    </w:rPr>
  </w:style>
  <w:style w:type="paragraph" w:customStyle="1" w:styleId="MDPI81theorem">
    <w:name w:val="MDPI_8.1_theorem"/>
    <w:qFormat/>
    <w:rsid w:val="00095192"/>
    <w:pPr>
      <w:spacing w:after="0" w:line="260" w:lineRule="atLeast"/>
      <w:jc w:val="both"/>
    </w:pPr>
    <w:rPr>
      <w:rFonts w:ascii="Palatino Linotype" w:eastAsia="Times New Roman" w:hAnsi="Palatino Linotype" w:cs="Times New Roman"/>
      <w:i/>
      <w:snapToGrid w:val="0"/>
      <w:color w:val="000000"/>
      <w:sz w:val="20"/>
      <w:lang w:val="en-US" w:eastAsia="de-DE" w:bidi="en-US"/>
    </w:rPr>
  </w:style>
  <w:style w:type="paragraph" w:customStyle="1" w:styleId="MDPI82proof">
    <w:name w:val="MDPI_8.2_proof"/>
    <w:qFormat/>
    <w:rsid w:val="00095192"/>
    <w:pPr>
      <w:spacing w:after="0" w:line="260" w:lineRule="atLeast"/>
      <w:jc w:val="both"/>
    </w:pPr>
    <w:rPr>
      <w:rFonts w:ascii="Palatino Linotype" w:eastAsia="Times New Roman" w:hAnsi="Palatino Linotype" w:cs="Times New Roman"/>
      <w:snapToGrid w:val="0"/>
      <w:color w:val="000000"/>
      <w:sz w:val="20"/>
      <w:lang w:val="en-US" w:eastAsia="de-DE" w:bidi="en-US"/>
    </w:rPr>
  </w:style>
  <w:style w:type="paragraph" w:customStyle="1" w:styleId="MDPIequationFram">
    <w:name w:val="MDPI_equationFram"/>
    <w:qFormat/>
    <w:rsid w:val="00095192"/>
    <w:pPr>
      <w:adjustRightInd w:val="0"/>
      <w:snapToGrid w:val="0"/>
      <w:spacing w:before="120" w:after="120" w:line="240" w:lineRule="auto"/>
      <w:jc w:val="center"/>
    </w:pPr>
    <w:rPr>
      <w:rFonts w:ascii="Palatino Linotype" w:eastAsia="Times New Roman" w:hAnsi="Palatino Linotype" w:cs="Times New Roman"/>
      <w:snapToGrid w:val="0"/>
      <w:color w:val="000000"/>
      <w:sz w:val="20"/>
      <w:lang w:val="en-US" w:eastAsia="de-DE" w:bidi="en-US"/>
    </w:rPr>
  </w:style>
  <w:style w:type="paragraph" w:customStyle="1" w:styleId="MDPIfooter">
    <w:name w:val="MDPI_footer"/>
    <w:qFormat/>
    <w:rsid w:val="00095192"/>
    <w:pPr>
      <w:adjustRightInd w:val="0"/>
      <w:snapToGrid w:val="0"/>
      <w:spacing w:before="120" w:after="0" w:line="260" w:lineRule="atLeast"/>
      <w:jc w:val="center"/>
    </w:pPr>
    <w:rPr>
      <w:rFonts w:ascii="Palatino Linotype" w:eastAsia="Times New Roman" w:hAnsi="Palatino Linotype" w:cs="Times New Roman"/>
      <w:color w:val="000000"/>
      <w:sz w:val="20"/>
      <w:szCs w:val="20"/>
      <w:lang w:val="en-US" w:eastAsia="de-DE"/>
    </w:rPr>
  </w:style>
  <w:style w:type="paragraph" w:customStyle="1" w:styleId="MDPIfooterfirstpage">
    <w:name w:val="MDPI_footer_firstpage"/>
    <w:qFormat/>
    <w:rsid w:val="00095192"/>
    <w:pPr>
      <w:tabs>
        <w:tab w:val="right" w:pos="8845"/>
      </w:tabs>
      <w:spacing w:after="0" w:line="160" w:lineRule="exact"/>
    </w:pPr>
    <w:rPr>
      <w:rFonts w:ascii="Palatino Linotype" w:eastAsia="Times New Roman" w:hAnsi="Palatino Linotype" w:cs="Times New Roman"/>
      <w:color w:val="000000"/>
      <w:sz w:val="16"/>
      <w:szCs w:val="20"/>
      <w:lang w:val="en-US" w:eastAsia="de-DE"/>
    </w:rPr>
  </w:style>
  <w:style w:type="paragraph" w:customStyle="1" w:styleId="MDPIheader">
    <w:name w:val="MDPI_header"/>
    <w:qFormat/>
    <w:rsid w:val="00095192"/>
    <w:pPr>
      <w:adjustRightInd w:val="0"/>
      <w:snapToGrid w:val="0"/>
      <w:spacing w:after="240" w:line="260" w:lineRule="atLeast"/>
      <w:jc w:val="both"/>
    </w:pPr>
    <w:rPr>
      <w:rFonts w:ascii="Palatino Linotype" w:eastAsia="Times New Roman" w:hAnsi="Palatino Linotype" w:cs="Times New Roman"/>
      <w:iCs/>
      <w:color w:val="000000"/>
      <w:sz w:val="16"/>
      <w:szCs w:val="20"/>
      <w:lang w:val="en-US" w:eastAsia="de-DE"/>
    </w:rPr>
  </w:style>
  <w:style w:type="paragraph" w:customStyle="1" w:styleId="MDPIheadercitation">
    <w:name w:val="MDPI_header_citation"/>
    <w:rsid w:val="00095192"/>
    <w:pPr>
      <w:spacing w:after="240" w:line="240" w:lineRule="auto"/>
    </w:pPr>
    <w:rPr>
      <w:rFonts w:ascii="Palatino Linotype" w:eastAsia="Times New Roman" w:hAnsi="Palatino Linotype" w:cs="Times New Roman"/>
      <w:snapToGrid w:val="0"/>
      <w:color w:val="000000"/>
      <w:sz w:val="18"/>
      <w:szCs w:val="20"/>
      <w:lang w:val="en-US" w:eastAsia="de-DE" w:bidi="en-US"/>
    </w:rPr>
  </w:style>
  <w:style w:type="paragraph" w:customStyle="1" w:styleId="MDPIheaderjournallogo">
    <w:name w:val="MDPI_header_journal_logo"/>
    <w:qFormat/>
    <w:rsid w:val="00095192"/>
    <w:pPr>
      <w:adjustRightInd w:val="0"/>
      <w:snapToGrid w:val="0"/>
      <w:spacing w:after="0" w:line="260" w:lineRule="atLeast"/>
      <w:jc w:val="both"/>
    </w:pPr>
    <w:rPr>
      <w:rFonts w:ascii="Palatino Linotype" w:eastAsia="Times New Roman" w:hAnsi="Palatino Linotype" w:cs="Times New Roman"/>
      <w:i/>
      <w:color w:val="000000"/>
      <w:sz w:val="24"/>
      <w:lang w:val="en-US" w:eastAsia="de-CH"/>
    </w:rPr>
  </w:style>
  <w:style w:type="paragraph" w:customStyle="1" w:styleId="MDPIheadermdpilogo">
    <w:name w:val="MDPI_header_mdpi_logo"/>
    <w:qFormat/>
    <w:rsid w:val="00095192"/>
    <w:pPr>
      <w:adjustRightInd w:val="0"/>
      <w:snapToGrid w:val="0"/>
      <w:spacing w:after="0" w:line="260" w:lineRule="atLeast"/>
      <w:jc w:val="right"/>
    </w:pPr>
    <w:rPr>
      <w:rFonts w:ascii="Palatino Linotype" w:eastAsia="Times New Roman" w:hAnsi="Palatino Linotype" w:cs="Times New Roman"/>
      <w:color w:val="000000"/>
      <w:sz w:val="24"/>
      <w:lang w:val="en-US" w:eastAsia="de-CH"/>
    </w:rPr>
  </w:style>
  <w:style w:type="paragraph" w:customStyle="1" w:styleId="MDPItext">
    <w:name w:val="MDPI_text"/>
    <w:qFormat/>
    <w:rsid w:val="00095192"/>
    <w:pPr>
      <w:spacing w:after="0" w:line="260" w:lineRule="atLeast"/>
      <w:ind w:left="425" w:right="425" w:firstLine="284"/>
      <w:jc w:val="both"/>
    </w:pPr>
    <w:rPr>
      <w:rFonts w:ascii="Times New Roman" w:eastAsia="Times New Roman" w:hAnsi="Times New Roman" w:cs="Times New Roman"/>
      <w:noProof/>
      <w:snapToGrid w:val="0"/>
      <w:color w:val="000000"/>
      <w:lang w:val="en-US" w:eastAsia="de-DE" w:bidi="en-US"/>
    </w:rPr>
  </w:style>
  <w:style w:type="paragraph" w:customStyle="1" w:styleId="MDPItitle">
    <w:name w:val="MDPI_title"/>
    <w:qFormat/>
    <w:rsid w:val="00095192"/>
    <w:pPr>
      <w:adjustRightInd w:val="0"/>
      <w:snapToGrid w:val="0"/>
      <w:spacing w:after="240" w:line="260" w:lineRule="atLeast"/>
      <w:jc w:val="both"/>
    </w:pPr>
    <w:rPr>
      <w:rFonts w:ascii="Palatino Linotype" w:eastAsia="Times New Roman" w:hAnsi="Palatino Linotype" w:cs="Times New Roman"/>
      <w:b/>
      <w:snapToGrid w:val="0"/>
      <w:color w:val="000000"/>
      <w:sz w:val="36"/>
      <w:szCs w:val="20"/>
      <w:lang w:val="en-US" w:eastAsia="de-DE" w:bidi="en-US"/>
    </w:rPr>
  </w:style>
  <w:style w:type="table" w:styleId="Oformateradtabell4">
    <w:name w:val="Plain Table 4"/>
    <w:basedOn w:val="Normaltabell"/>
    <w:uiPriority w:val="44"/>
    <w:rsid w:val="00895E1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999965">
      <w:bodyDiv w:val="1"/>
      <w:marLeft w:val="0"/>
      <w:marRight w:val="0"/>
      <w:marTop w:val="0"/>
      <w:marBottom w:val="0"/>
      <w:divBdr>
        <w:top w:val="none" w:sz="0" w:space="0" w:color="auto"/>
        <w:left w:val="none" w:sz="0" w:space="0" w:color="auto"/>
        <w:bottom w:val="none" w:sz="0" w:space="0" w:color="auto"/>
        <w:right w:val="none" w:sz="0" w:space="0" w:color="auto"/>
      </w:divBdr>
    </w:div>
    <w:div w:id="177549806">
      <w:bodyDiv w:val="1"/>
      <w:marLeft w:val="0"/>
      <w:marRight w:val="0"/>
      <w:marTop w:val="0"/>
      <w:marBottom w:val="0"/>
      <w:divBdr>
        <w:top w:val="none" w:sz="0" w:space="0" w:color="auto"/>
        <w:left w:val="none" w:sz="0" w:space="0" w:color="auto"/>
        <w:bottom w:val="none" w:sz="0" w:space="0" w:color="auto"/>
        <w:right w:val="none" w:sz="0" w:space="0" w:color="auto"/>
      </w:divBdr>
    </w:div>
    <w:div w:id="1209803782">
      <w:bodyDiv w:val="1"/>
      <w:marLeft w:val="0"/>
      <w:marRight w:val="0"/>
      <w:marTop w:val="0"/>
      <w:marBottom w:val="0"/>
      <w:divBdr>
        <w:top w:val="none" w:sz="0" w:space="0" w:color="auto"/>
        <w:left w:val="none" w:sz="0" w:space="0" w:color="auto"/>
        <w:bottom w:val="none" w:sz="0" w:space="0" w:color="auto"/>
        <w:right w:val="none" w:sz="0" w:space="0" w:color="auto"/>
      </w:divBdr>
    </w:div>
    <w:div w:id="1352875798">
      <w:bodyDiv w:val="1"/>
      <w:marLeft w:val="0"/>
      <w:marRight w:val="0"/>
      <w:marTop w:val="0"/>
      <w:marBottom w:val="0"/>
      <w:divBdr>
        <w:top w:val="none" w:sz="0" w:space="0" w:color="auto"/>
        <w:left w:val="none" w:sz="0" w:space="0" w:color="auto"/>
        <w:bottom w:val="none" w:sz="0" w:space="0" w:color="auto"/>
        <w:right w:val="none" w:sz="0" w:space="0" w:color="auto"/>
      </w:divBdr>
    </w:div>
    <w:div w:id="1433550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ndom.org" TargetMode="Externa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kerstin.lagerstrand@vgregion.se" TargetMode="External"/><Relationship Id="rId12" Type="http://schemas.openxmlformats.org/officeDocument/2006/relationships/image" Target="media/image2.emf"/><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project.org" TargetMode="External"/><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github.com/tjrantal/RoiAnalyzer" TargetMode="External"/><Relationship Id="rId14" Type="http://schemas.openxmlformats.org/officeDocument/2006/relationships/image" Target="media/image4.emf"/></Relationships>
</file>

<file path=word/_rels/header2.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50.png"/><Relationship Id="rId1" Type="http://schemas.openxmlformats.org/officeDocument/2006/relationships/image" Target="media/image6.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3CC68FBA</Template>
  <TotalTime>0</TotalTime>
  <Pages>11</Pages>
  <Words>5705</Words>
  <Characters>32523</Characters>
  <Application>Microsoft Office Word</Application>
  <DocSecurity>0</DocSecurity>
  <Lines>271</Lines>
  <Paragraphs>76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vt:lpstr>
      <vt:lpstr>C</vt:lpstr>
    </vt:vector>
  </TitlesOfParts>
  <Company/>
  <LinksUpToDate>false</LinksUpToDate>
  <CharactersWithSpaces>38152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c:title>
  <dc:subject/>
  <dc:creator>MDPI</dc:creator>
  <cp:keywords/>
  <dc:description/>
  <cp:lastModifiedBy>Kerstin Lagerstrand</cp:lastModifiedBy>
  <cp:revision>2</cp:revision>
  <cp:lastPrinted>2020-05-27T01:47:00Z</cp:lastPrinted>
  <dcterms:created xsi:type="dcterms:W3CDTF">2020-06-07T08:31:00Z</dcterms:created>
  <dcterms:modified xsi:type="dcterms:W3CDTF">2020-06-07T08:31:00Z</dcterms:modified>
</cp:coreProperties>
</file>